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2B9BB" w14:textId="77777777" w:rsidR="001C176E" w:rsidRDefault="001C176E" w:rsidP="00E96336">
      <w:pPr>
        <w:jc w:val="both"/>
        <w:rPr>
          <w:rFonts w:ascii="Verdana" w:hAnsi="Verdana"/>
        </w:rPr>
      </w:pPr>
    </w:p>
    <w:p w14:paraId="137BECB0" w14:textId="77777777" w:rsidR="001C176E" w:rsidRDefault="001C176E" w:rsidP="00E96336">
      <w:pPr>
        <w:jc w:val="both"/>
        <w:rPr>
          <w:rFonts w:ascii="Verdana" w:hAnsi="Verdana"/>
        </w:rPr>
      </w:pPr>
    </w:p>
    <w:p w14:paraId="1433E6CB" w14:textId="77777777" w:rsidR="001C176E" w:rsidRDefault="001C176E" w:rsidP="00E96336">
      <w:pPr>
        <w:jc w:val="both"/>
        <w:rPr>
          <w:rFonts w:ascii="Verdana" w:hAnsi="Verdana"/>
        </w:rPr>
      </w:pPr>
    </w:p>
    <w:p w14:paraId="2629BED5" w14:textId="77777777" w:rsidR="003B18D6" w:rsidRDefault="003B18D6" w:rsidP="00E96336">
      <w:pPr>
        <w:jc w:val="both"/>
        <w:rPr>
          <w:rFonts w:ascii="Verdana" w:hAnsi="Verdana"/>
        </w:rPr>
      </w:pPr>
    </w:p>
    <w:p w14:paraId="2A8AB6FD" w14:textId="77777777" w:rsidR="003B18D6" w:rsidRDefault="003B18D6" w:rsidP="00E96336">
      <w:pPr>
        <w:jc w:val="both"/>
        <w:rPr>
          <w:rFonts w:ascii="Verdana" w:hAnsi="Verdana"/>
        </w:rPr>
      </w:pPr>
    </w:p>
    <w:p w14:paraId="269AD7EF" w14:textId="77777777" w:rsidR="003B18D6" w:rsidRDefault="003B18D6" w:rsidP="00E96336">
      <w:pPr>
        <w:jc w:val="both"/>
        <w:rPr>
          <w:rFonts w:ascii="Verdana" w:hAnsi="Verdana"/>
        </w:rPr>
      </w:pPr>
    </w:p>
    <w:p w14:paraId="3E525CF3" w14:textId="7FF23934" w:rsidR="003B18D6" w:rsidRDefault="0045308F" w:rsidP="003B18D6">
      <w:pPr>
        <w:overflowPunct w:val="0"/>
        <w:autoSpaceDE w:val="0"/>
        <w:autoSpaceDN w:val="0"/>
        <w:adjustRightInd w:val="0"/>
        <w:spacing w:before="480" w:after="0" w:line="360" w:lineRule="auto"/>
        <w:ind w:left="425" w:right="284"/>
        <w:jc w:val="center"/>
        <w:textAlignment w:val="baseline"/>
        <w:rPr>
          <w:rFonts w:eastAsia="Times New Roman" w:cs="Tahoma"/>
          <w:b/>
          <w:color w:val="050505"/>
          <w:spacing w:val="2"/>
          <w:sz w:val="40"/>
          <w:szCs w:val="40"/>
          <w:lang w:eastAsia="fr-FR"/>
        </w:rPr>
      </w:pPr>
      <w:r w:rsidRPr="003B18D6">
        <w:rPr>
          <w:rFonts w:eastAsia="Times New Roman" w:cs="Tahoma"/>
          <w:b/>
          <w:color w:val="050505"/>
          <w:spacing w:val="2"/>
          <w:sz w:val="40"/>
          <w:szCs w:val="40"/>
          <w:lang w:eastAsia="fr-FR"/>
        </w:rPr>
        <w:t xml:space="preserve">Réponse de RTE à la consultation publique de la CRE du </w:t>
      </w:r>
      <w:r w:rsidR="009F5680">
        <w:rPr>
          <w:rFonts w:eastAsia="Times New Roman" w:cs="Tahoma"/>
          <w:b/>
          <w:color w:val="050505"/>
          <w:spacing w:val="2"/>
          <w:sz w:val="40"/>
          <w:szCs w:val="40"/>
          <w:lang w:eastAsia="fr-FR"/>
        </w:rPr>
        <w:t>19 mars</w:t>
      </w:r>
      <w:r w:rsidRPr="003B18D6">
        <w:rPr>
          <w:rFonts w:eastAsia="Times New Roman" w:cs="Tahoma"/>
          <w:b/>
          <w:color w:val="050505"/>
          <w:spacing w:val="2"/>
          <w:sz w:val="40"/>
          <w:szCs w:val="40"/>
          <w:lang w:eastAsia="fr-FR"/>
        </w:rPr>
        <w:t xml:space="preserve"> </w:t>
      </w:r>
      <w:r w:rsidR="009F5680">
        <w:rPr>
          <w:rFonts w:eastAsia="Times New Roman" w:cs="Tahoma"/>
          <w:b/>
          <w:color w:val="050505"/>
          <w:spacing w:val="2"/>
          <w:sz w:val="40"/>
          <w:szCs w:val="40"/>
          <w:lang w:eastAsia="fr-FR"/>
        </w:rPr>
        <w:t>2020</w:t>
      </w:r>
      <w:r w:rsidR="009F5680" w:rsidRPr="003B18D6">
        <w:rPr>
          <w:rFonts w:eastAsia="Times New Roman" w:cs="Tahoma"/>
          <w:b/>
          <w:color w:val="050505"/>
          <w:spacing w:val="2"/>
          <w:sz w:val="40"/>
          <w:szCs w:val="40"/>
          <w:lang w:eastAsia="fr-FR"/>
        </w:rPr>
        <w:t xml:space="preserve"> </w:t>
      </w:r>
      <w:r w:rsidRPr="003B18D6">
        <w:rPr>
          <w:rFonts w:eastAsia="Times New Roman" w:cs="Tahoma"/>
          <w:b/>
          <w:color w:val="050505"/>
          <w:spacing w:val="2"/>
          <w:sz w:val="40"/>
          <w:szCs w:val="40"/>
          <w:lang w:eastAsia="fr-FR"/>
        </w:rPr>
        <w:t>N°</w:t>
      </w:r>
      <w:r w:rsidR="008B70EA" w:rsidRPr="003B18D6">
        <w:rPr>
          <w:rFonts w:eastAsia="Times New Roman" w:cs="Tahoma"/>
          <w:b/>
          <w:color w:val="050505"/>
          <w:spacing w:val="2"/>
          <w:sz w:val="40"/>
          <w:szCs w:val="40"/>
          <w:lang w:eastAsia="fr-FR"/>
        </w:rPr>
        <w:t>20</w:t>
      </w:r>
      <w:r w:rsidR="008B70EA">
        <w:rPr>
          <w:rFonts w:eastAsia="Times New Roman" w:cs="Tahoma"/>
          <w:b/>
          <w:color w:val="050505"/>
          <w:spacing w:val="2"/>
          <w:sz w:val="40"/>
          <w:szCs w:val="40"/>
          <w:lang w:eastAsia="fr-FR"/>
        </w:rPr>
        <w:t>20</w:t>
      </w:r>
      <w:r w:rsidRPr="003B18D6">
        <w:rPr>
          <w:rFonts w:eastAsia="Times New Roman" w:cs="Tahoma"/>
          <w:b/>
          <w:color w:val="050505"/>
          <w:spacing w:val="2"/>
          <w:sz w:val="40"/>
          <w:szCs w:val="40"/>
          <w:lang w:eastAsia="fr-FR"/>
        </w:rPr>
        <w:t>-</w:t>
      </w:r>
      <w:r w:rsidR="008F6A29">
        <w:rPr>
          <w:rFonts w:eastAsia="Times New Roman" w:cs="Tahoma"/>
          <w:b/>
          <w:color w:val="050505"/>
          <w:spacing w:val="2"/>
          <w:sz w:val="40"/>
          <w:szCs w:val="40"/>
          <w:lang w:eastAsia="fr-FR"/>
        </w:rPr>
        <w:t>0</w:t>
      </w:r>
      <w:r w:rsidR="008B70EA">
        <w:rPr>
          <w:rFonts w:eastAsia="Times New Roman" w:cs="Tahoma"/>
          <w:b/>
          <w:color w:val="050505"/>
          <w:spacing w:val="2"/>
          <w:sz w:val="40"/>
          <w:szCs w:val="40"/>
          <w:lang w:eastAsia="fr-FR"/>
        </w:rPr>
        <w:t>07</w:t>
      </w:r>
      <w:r w:rsidRPr="003B18D6">
        <w:rPr>
          <w:rFonts w:eastAsia="Times New Roman" w:cs="Tahoma"/>
          <w:b/>
          <w:color w:val="050505"/>
          <w:spacing w:val="2"/>
          <w:sz w:val="40"/>
          <w:szCs w:val="40"/>
          <w:lang w:eastAsia="fr-FR"/>
        </w:rPr>
        <w:t xml:space="preserve"> relative </w:t>
      </w:r>
      <w:r w:rsidR="008F6A29">
        <w:rPr>
          <w:rFonts w:eastAsia="Times New Roman" w:cs="Tahoma"/>
          <w:b/>
          <w:color w:val="050505"/>
          <w:spacing w:val="2"/>
          <w:sz w:val="40"/>
          <w:szCs w:val="40"/>
          <w:lang w:eastAsia="fr-FR"/>
        </w:rPr>
        <w:t xml:space="preserve">à la </w:t>
      </w:r>
      <w:r w:rsidR="008B70EA">
        <w:rPr>
          <w:rFonts w:eastAsia="Times New Roman" w:cs="Tahoma"/>
          <w:b/>
          <w:color w:val="050505"/>
          <w:spacing w:val="2"/>
          <w:sz w:val="40"/>
          <w:szCs w:val="40"/>
          <w:lang w:eastAsia="fr-FR"/>
        </w:rPr>
        <w:t>composante de soutirage</w:t>
      </w:r>
      <w:r w:rsidR="008F6A29">
        <w:rPr>
          <w:rFonts w:eastAsia="Times New Roman" w:cs="Tahoma"/>
          <w:b/>
          <w:color w:val="050505"/>
          <w:spacing w:val="2"/>
          <w:sz w:val="40"/>
          <w:szCs w:val="40"/>
          <w:lang w:eastAsia="fr-FR"/>
        </w:rPr>
        <w:t xml:space="preserve"> des prochains tarifs d’utilisation des réseaux publics d’électricité « TURPE 6 »</w:t>
      </w:r>
    </w:p>
    <w:p w14:paraId="78C499C9" w14:textId="77777777" w:rsidR="003B18D6" w:rsidRDefault="003B18D6" w:rsidP="003B18D6">
      <w:pPr>
        <w:overflowPunct w:val="0"/>
        <w:autoSpaceDE w:val="0"/>
        <w:autoSpaceDN w:val="0"/>
        <w:adjustRightInd w:val="0"/>
        <w:spacing w:before="480" w:after="0" w:line="360" w:lineRule="auto"/>
        <w:ind w:left="425" w:right="284"/>
        <w:jc w:val="center"/>
        <w:textAlignment w:val="baseline"/>
        <w:rPr>
          <w:rFonts w:eastAsia="Times New Roman" w:cs="Tahoma"/>
          <w:b/>
          <w:color w:val="050505"/>
          <w:spacing w:val="2"/>
          <w:sz w:val="40"/>
          <w:szCs w:val="40"/>
          <w:lang w:eastAsia="fr-FR"/>
        </w:rPr>
      </w:pPr>
    </w:p>
    <w:p w14:paraId="294CA71C" w14:textId="77777777" w:rsidR="003B18D6" w:rsidRDefault="003B18D6" w:rsidP="003B18D6">
      <w:pPr>
        <w:overflowPunct w:val="0"/>
        <w:autoSpaceDE w:val="0"/>
        <w:autoSpaceDN w:val="0"/>
        <w:adjustRightInd w:val="0"/>
        <w:spacing w:before="480" w:after="0" w:line="360" w:lineRule="auto"/>
        <w:ind w:left="425" w:right="284"/>
        <w:jc w:val="center"/>
        <w:textAlignment w:val="baseline"/>
        <w:rPr>
          <w:rFonts w:eastAsia="Times New Roman" w:cs="Tahoma"/>
          <w:b/>
          <w:color w:val="050505"/>
          <w:spacing w:val="2"/>
          <w:sz w:val="40"/>
          <w:szCs w:val="40"/>
          <w:lang w:eastAsia="fr-FR"/>
        </w:rPr>
      </w:pPr>
    </w:p>
    <w:p w14:paraId="7CB3B702" w14:textId="77777777" w:rsidR="003B18D6" w:rsidRDefault="003B18D6" w:rsidP="003B18D6">
      <w:pPr>
        <w:overflowPunct w:val="0"/>
        <w:autoSpaceDE w:val="0"/>
        <w:autoSpaceDN w:val="0"/>
        <w:adjustRightInd w:val="0"/>
        <w:spacing w:before="480" w:after="0" w:line="360" w:lineRule="auto"/>
        <w:ind w:left="425" w:right="284"/>
        <w:jc w:val="center"/>
        <w:textAlignment w:val="baseline"/>
        <w:rPr>
          <w:rFonts w:eastAsia="Times New Roman" w:cs="Tahoma"/>
          <w:b/>
          <w:color w:val="050505"/>
          <w:spacing w:val="2"/>
          <w:sz w:val="40"/>
          <w:szCs w:val="40"/>
          <w:lang w:eastAsia="fr-FR"/>
        </w:rPr>
      </w:pPr>
    </w:p>
    <w:p w14:paraId="1580BFC4" w14:textId="77777777" w:rsidR="003B18D6" w:rsidRDefault="003B18D6" w:rsidP="003B18D6">
      <w:pPr>
        <w:overflowPunct w:val="0"/>
        <w:autoSpaceDE w:val="0"/>
        <w:autoSpaceDN w:val="0"/>
        <w:adjustRightInd w:val="0"/>
        <w:spacing w:before="480" w:after="0" w:line="360" w:lineRule="auto"/>
        <w:ind w:left="425" w:right="284"/>
        <w:jc w:val="center"/>
        <w:textAlignment w:val="baseline"/>
        <w:rPr>
          <w:rFonts w:eastAsia="Times New Roman" w:cs="Tahoma"/>
          <w:b/>
          <w:color w:val="050505"/>
          <w:spacing w:val="2"/>
          <w:sz w:val="40"/>
          <w:szCs w:val="40"/>
          <w:lang w:eastAsia="fr-FR"/>
        </w:rPr>
      </w:pPr>
    </w:p>
    <w:p w14:paraId="07497562" w14:textId="77777777" w:rsidR="003B18D6" w:rsidRPr="006B3DE7" w:rsidRDefault="003B18D6" w:rsidP="003B18D6">
      <w:pPr>
        <w:overflowPunct w:val="0"/>
        <w:autoSpaceDE w:val="0"/>
        <w:autoSpaceDN w:val="0"/>
        <w:adjustRightInd w:val="0"/>
        <w:spacing w:before="480" w:after="0" w:line="360" w:lineRule="auto"/>
        <w:ind w:left="8213" w:right="284" w:firstLine="283"/>
        <w:jc w:val="center"/>
        <w:textAlignment w:val="baseline"/>
        <w:rPr>
          <w:rFonts w:ascii="Verdana" w:hAnsi="Verdana"/>
          <w:b/>
          <w:sz w:val="28"/>
          <w:szCs w:val="28"/>
        </w:rPr>
      </w:pPr>
      <w:r>
        <w:rPr>
          <w:noProof/>
          <w:lang w:eastAsia="fr-FR"/>
        </w:rPr>
        <w:drawing>
          <wp:inline distT="0" distB="0" distL="0" distR="0" wp14:anchorId="500AD11B" wp14:editId="4A04CB4E">
            <wp:extent cx="546265" cy="518952"/>
            <wp:effectExtent l="19050" t="0" r="6185" b="0"/>
            <wp:docPr id="1" name="Image 1" descr="D:\APPLIRTE\GCM V2\Nouvelle passe\Afaq_14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PPLIRTE\GCM V2\Nouvelle passe\Afaq_14001.jpg"/>
                    <pic:cNvPicPr>
                      <a:picLocks noChangeAspect="1" noChangeArrowheads="1"/>
                    </pic:cNvPicPr>
                  </pic:nvPicPr>
                  <pic:blipFill>
                    <a:blip r:embed="rId8" cstate="print"/>
                    <a:srcRect/>
                    <a:stretch>
                      <a:fillRect/>
                    </a:stretch>
                  </pic:blipFill>
                  <pic:spPr bwMode="auto">
                    <a:xfrm>
                      <a:off x="0" y="0"/>
                      <a:ext cx="551436" cy="523864"/>
                    </a:xfrm>
                    <a:prstGeom prst="rect">
                      <a:avLst/>
                    </a:prstGeom>
                    <a:noFill/>
                    <a:ln w="9525">
                      <a:noFill/>
                      <a:miter lim="800000"/>
                      <a:headEnd/>
                      <a:tailEnd/>
                    </a:ln>
                  </pic:spPr>
                </pic:pic>
              </a:graphicData>
            </a:graphic>
          </wp:inline>
        </w:drawing>
      </w:r>
    </w:p>
    <w:p w14:paraId="2828E667" w14:textId="77777777" w:rsidR="0045308F" w:rsidRDefault="0045308F" w:rsidP="0045308F">
      <w:pPr>
        <w:pStyle w:val="Paragraphedeliste"/>
        <w:ind w:left="851" w:right="1559"/>
        <w:jc w:val="center"/>
        <w:rPr>
          <w:rFonts w:ascii="Verdana" w:hAnsi="Verdana"/>
        </w:rPr>
      </w:pPr>
    </w:p>
    <w:p w14:paraId="441BC0EE" w14:textId="77777777" w:rsidR="0045308F" w:rsidRPr="006B3DE7" w:rsidRDefault="003B18D6" w:rsidP="0045308F">
      <w:pPr>
        <w:pStyle w:val="Paragraphedeliste"/>
        <w:ind w:left="851" w:right="1559"/>
        <w:jc w:val="center"/>
        <w:rPr>
          <w:rFonts w:ascii="Verdana" w:hAnsi="Verdana"/>
        </w:rPr>
      </w:pPr>
      <w:r>
        <w:rPr>
          <w:rFonts w:ascii="Verdana" w:hAnsi="Verdana"/>
          <w:noProof/>
          <w:lang w:eastAsia="fr-FR"/>
        </w:rPr>
        <mc:AlternateContent>
          <mc:Choice Requires="wps">
            <w:drawing>
              <wp:anchor distT="0" distB="0" distL="114300" distR="114300" simplePos="0" relativeHeight="251659264" behindDoc="0" locked="0" layoutInCell="1" allowOverlap="1" wp14:anchorId="34F848A7" wp14:editId="3407F5ED">
                <wp:simplePos x="0" y="0"/>
                <wp:positionH relativeFrom="column">
                  <wp:posOffset>4395686</wp:posOffset>
                </wp:positionH>
                <wp:positionV relativeFrom="paragraph">
                  <wp:posOffset>303823</wp:posOffset>
                </wp:positionV>
                <wp:extent cx="1728317" cy="381837"/>
                <wp:effectExtent l="0" t="0" r="5715" b="0"/>
                <wp:wrapNone/>
                <wp:docPr id="4" name="Rectangle 4"/>
                <wp:cNvGraphicFramePr/>
                <a:graphic xmlns:a="http://schemas.openxmlformats.org/drawingml/2006/main">
                  <a:graphicData uri="http://schemas.microsoft.com/office/word/2010/wordprocessingShape">
                    <wps:wsp>
                      <wps:cNvSpPr/>
                      <wps:spPr>
                        <a:xfrm>
                          <a:off x="0" y="0"/>
                          <a:ext cx="1728317" cy="38183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611EAD" id="Rectangle 4" o:spid="_x0000_s1026" style="position:absolute;margin-left:346.1pt;margin-top:23.9pt;width:136.1pt;height:30.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" fillcolor="white [3212]" stroked="f" strokeweight="1pt"/>
            </w:pict>
          </mc:Fallback>
        </mc:AlternateContent>
      </w:r>
    </w:p>
    <w:p w14:paraId="77C5372F" w14:textId="3AFDEF0E" w:rsidR="008B70EA" w:rsidRDefault="008B70EA">
      <w:pPr>
        <w:rPr>
          <w:rFonts w:ascii="Verdana" w:hAnsi="Verdana"/>
        </w:rPr>
      </w:pPr>
      <w:r>
        <w:rPr>
          <w:rFonts w:ascii="Verdana" w:hAnsi="Verdana"/>
        </w:rPr>
        <w:br w:type="page"/>
      </w:r>
    </w:p>
    <w:p w14:paraId="14819B58" w14:textId="28EF177A" w:rsidR="008F6A29" w:rsidRPr="008F6A29" w:rsidRDefault="008F6A29" w:rsidP="008F6A29">
      <w:pPr>
        <w:jc w:val="both"/>
        <w:rPr>
          <w:rFonts w:ascii="Verdana" w:hAnsi="Verdana"/>
          <w:b/>
        </w:rPr>
      </w:pPr>
      <w:r w:rsidRPr="008F6A29">
        <w:rPr>
          <w:rFonts w:ascii="Verdana" w:hAnsi="Verdana"/>
          <w:b/>
        </w:rPr>
        <w:lastRenderedPageBreak/>
        <w:t>Question 1 : Êtes-vous favorable aux principes identifiés par la CRE pour élaborer la structure du TURPE 6 ?</w:t>
      </w:r>
    </w:p>
    <w:p w14:paraId="4A32967A" w14:textId="387CB407" w:rsidR="008B70EA" w:rsidRDefault="008B70EA" w:rsidP="008F6A29">
      <w:pPr>
        <w:jc w:val="both"/>
        <w:rPr>
          <w:rFonts w:ascii="Verdana" w:hAnsi="Verdana"/>
          <w:b/>
        </w:rPr>
      </w:pPr>
      <w:r>
        <w:rPr>
          <w:rFonts w:ascii="Verdana" w:hAnsi="Verdana"/>
        </w:rPr>
        <w:t>Comme il a déjà eu l’occasion de l’exprimer dans sa réponse à la consultation publique n°2019-011 du 23 mai 2019 relative à la structure des prochains TURPE</w:t>
      </w:r>
      <w:r>
        <w:rPr>
          <w:rStyle w:val="Appelnotedebasdep"/>
          <w:rFonts w:ascii="Verdana" w:hAnsi="Verdana"/>
        </w:rPr>
        <w:footnoteReference w:id="1"/>
      </w:r>
      <w:r>
        <w:rPr>
          <w:rFonts w:ascii="Verdana" w:hAnsi="Verdana"/>
        </w:rPr>
        <w:t xml:space="preserve">, </w:t>
      </w:r>
      <w:r w:rsidR="008F6A29" w:rsidRPr="008F6A29">
        <w:rPr>
          <w:rFonts w:ascii="Verdana" w:hAnsi="Verdana"/>
        </w:rPr>
        <w:t>RTE reconnait l’intérêt de chacun des principes et critères que la CRE souhaite maintenir pour la construction du TURPE 6</w:t>
      </w:r>
      <w:r>
        <w:rPr>
          <w:rFonts w:ascii="Verdana" w:hAnsi="Verdana"/>
        </w:rPr>
        <w:t xml:space="preserve">, </w:t>
      </w:r>
      <w:r w:rsidR="00E30AE4" w:rsidRPr="00E30AE4">
        <w:rPr>
          <w:rFonts w:ascii="Verdana" w:hAnsi="Verdana"/>
        </w:rPr>
        <w:t>tout en appelant à une priorisation ou à un bon équilibre lorsqu’ils ne sont pas compatibles</w:t>
      </w:r>
      <w:r>
        <w:rPr>
          <w:rFonts w:ascii="Verdana" w:hAnsi="Verdana"/>
        </w:rPr>
        <w:t>.</w:t>
      </w:r>
      <w:r w:rsidR="008F6A29" w:rsidRPr="008F6A29">
        <w:rPr>
          <w:rFonts w:ascii="Verdana" w:hAnsi="Verdana"/>
        </w:rPr>
        <w:t xml:space="preserve"> </w:t>
      </w:r>
    </w:p>
    <w:p w14:paraId="26EF0361" w14:textId="45AF844E" w:rsidR="008B70EA" w:rsidRPr="008B70EA" w:rsidRDefault="008B70EA" w:rsidP="008B70EA">
      <w:pPr>
        <w:jc w:val="both"/>
        <w:rPr>
          <w:rFonts w:ascii="Verdana" w:hAnsi="Verdana"/>
          <w:b/>
        </w:rPr>
      </w:pPr>
    </w:p>
    <w:p w14:paraId="2EFDD53E" w14:textId="33FE40A2" w:rsidR="008F6A29" w:rsidRPr="008F6A29" w:rsidRDefault="008B70EA" w:rsidP="008B70EA">
      <w:pPr>
        <w:jc w:val="both"/>
        <w:rPr>
          <w:rFonts w:ascii="Verdana" w:hAnsi="Verdana"/>
          <w:b/>
        </w:rPr>
      </w:pPr>
      <w:r w:rsidRPr="008B70EA">
        <w:rPr>
          <w:rFonts w:ascii="Verdana" w:hAnsi="Verdana"/>
          <w:b/>
        </w:rPr>
        <w:t>Question 2</w:t>
      </w:r>
      <w:r w:rsidR="009F5680">
        <w:rPr>
          <w:rFonts w:ascii="Verdana" w:hAnsi="Verdana"/>
          <w:b/>
        </w:rPr>
        <w:t xml:space="preserve"> : </w:t>
      </w:r>
      <w:r w:rsidR="009F5680" w:rsidRPr="008F6A29">
        <w:rPr>
          <w:rFonts w:ascii="Verdana" w:hAnsi="Verdana"/>
          <w:b/>
        </w:rPr>
        <w:t>Ê</w:t>
      </w:r>
      <w:r w:rsidRPr="008B70EA">
        <w:rPr>
          <w:rFonts w:ascii="Verdana" w:hAnsi="Verdana"/>
          <w:b/>
        </w:rPr>
        <w:t>tes-vous favorable aux évolutions de méthodologie envisagées par la CRE pour déterminer la composante de soutirage ?</w:t>
      </w:r>
    </w:p>
    <w:p w14:paraId="2002360D" w14:textId="42C87206" w:rsidR="008F6A29" w:rsidRDefault="00A85E8D" w:rsidP="00EA37EB">
      <w:pPr>
        <w:jc w:val="both"/>
        <w:rPr>
          <w:rFonts w:ascii="Verdana" w:hAnsi="Verdana"/>
        </w:rPr>
      </w:pPr>
      <w:r>
        <w:rPr>
          <w:rFonts w:ascii="Verdana" w:hAnsi="Verdana"/>
        </w:rPr>
        <w:t>RT</w:t>
      </w:r>
      <w:r w:rsidR="00E30AE4">
        <w:rPr>
          <w:rFonts w:ascii="Verdana" w:hAnsi="Verdana"/>
        </w:rPr>
        <w:t xml:space="preserve">E prend note de l’évolution de </w:t>
      </w:r>
      <w:r w:rsidR="009B7B4C">
        <w:rPr>
          <w:rFonts w:ascii="Verdana" w:hAnsi="Verdana"/>
        </w:rPr>
        <w:t xml:space="preserve">méthodologie </w:t>
      </w:r>
      <w:r w:rsidR="00E30AE4">
        <w:rPr>
          <w:rFonts w:ascii="Verdana" w:hAnsi="Verdana"/>
        </w:rPr>
        <w:t xml:space="preserve">envisagée par la CRE et souligne plusieurs améliorations par rapport à </w:t>
      </w:r>
      <w:r w:rsidR="009B7B4C">
        <w:rPr>
          <w:rFonts w:ascii="Verdana" w:hAnsi="Verdana"/>
        </w:rPr>
        <w:t>celle</w:t>
      </w:r>
      <w:r w:rsidR="00E30AE4">
        <w:rPr>
          <w:rFonts w:ascii="Verdana" w:hAnsi="Verdana"/>
        </w:rPr>
        <w:t xml:space="preserve"> utilisée pour élaborer la structure du TURPE 5 :</w:t>
      </w:r>
    </w:p>
    <w:p w14:paraId="57741993" w14:textId="59028B88" w:rsidR="00EA37EB" w:rsidRPr="00EA37EB" w:rsidRDefault="00EA37EB" w:rsidP="00EA37EB">
      <w:pPr>
        <w:pStyle w:val="Paragraphedeliste"/>
        <w:numPr>
          <w:ilvl w:val="0"/>
          <w:numId w:val="33"/>
        </w:numPr>
        <w:contextualSpacing w:val="0"/>
        <w:jc w:val="both"/>
        <w:rPr>
          <w:rFonts w:ascii="Verdana" w:hAnsi="Verdana"/>
        </w:rPr>
      </w:pPr>
      <w:r>
        <w:rPr>
          <w:rFonts w:ascii="Verdana" w:hAnsi="Verdana"/>
        </w:rPr>
        <w:t>Une meilleure prise en compte des</w:t>
      </w:r>
      <w:r w:rsidR="0018296C">
        <w:rPr>
          <w:rFonts w:ascii="Verdana" w:hAnsi="Verdana"/>
        </w:rPr>
        <w:t xml:space="preserve"> évolutions </w:t>
      </w:r>
      <w:r w:rsidR="009B1847">
        <w:rPr>
          <w:rFonts w:ascii="Verdana" w:hAnsi="Verdana"/>
        </w:rPr>
        <w:t xml:space="preserve">structurelles </w:t>
      </w:r>
      <w:r w:rsidR="0018296C">
        <w:rPr>
          <w:rFonts w:ascii="Verdana" w:hAnsi="Verdana"/>
        </w:rPr>
        <w:t xml:space="preserve">des usages des réseaux (diminution de l’énergie soutirée, forte augmentation de l’énergie refoulée depuis des réseaux de distribution, avec des dynamiques très variables selon les contextes locaux), </w:t>
      </w:r>
      <w:r>
        <w:rPr>
          <w:rFonts w:ascii="Verdana" w:hAnsi="Verdana"/>
        </w:rPr>
        <w:t>grâce à l’utilisation</w:t>
      </w:r>
      <w:r w:rsidR="009B1847">
        <w:rPr>
          <w:rFonts w:ascii="Verdana" w:hAnsi="Verdana"/>
        </w:rPr>
        <w:t xml:space="preserve"> conjointe</w:t>
      </w:r>
      <w:r w:rsidR="0018296C">
        <w:rPr>
          <w:rFonts w:ascii="Verdana" w:hAnsi="Verdana"/>
        </w:rPr>
        <w:t xml:space="preserve"> </w:t>
      </w:r>
      <w:r w:rsidR="009B1847">
        <w:rPr>
          <w:rFonts w:ascii="Verdana" w:hAnsi="Verdana"/>
        </w:rPr>
        <w:t xml:space="preserve">d’un historique récent et </w:t>
      </w:r>
      <w:r w:rsidR="0018296C">
        <w:rPr>
          <w:rFonts w:ascii="Verdana" w:hAnsi="Verdana"/>
        </w:rPr>
        <w:t>des projections de soutirages par point</w:t>
      </w:r>
      <w:r>
        <w:rPr>
          <w:rFonts w:ascii="Verdana" w:hAnsi="Verdana"/>
        </w:rPr>
        <w:t>s</w:t>
      </w:r>
      <w:r w:rsidR="0018296C">
        <w:rPr>
          <w:rFonts w:ascii="Verdana" w:hAnsi="Verdana"/>
        </w:rPr>
        <w:t xml:space="preserve"> de livraison à l’horizon 2025 fournies par RTE ;</w:t>
      </w:r>
    </w:p>
    <w:p w14:paraId="52E1AC42" w14:textId="4EAF7E99" w:rsidR="0018296C" w:rsidRDefault="00EA37EB" w:rsidP="00EA37EB">
      <w:pPr>
        <w:pStyle w:val="Paragraphedeliste"/>
        <w:numPr>
          <w:ilvl w:val="0"/>
          <w:numId w:val="33"/>
        </w:numPr>
        <w:contextualSpacing w:val="0"/>
        <w:jc w:val="both"/>
        <w:rPr>
          <w:rFonts w:ascii="Verdana" w:hAnsi="Verdana"/>
        </w:rPr>
      </w:pPr>
      <w:r>
        <w:rPr>
          <w:rFonts w:ascii="Verdana" w:hAnsi="Verdana"/>
        </w:rPr>
        <w:t>Une meilleure prise en compte des inducteurs de coûts de réseau et des facteurs expliquant les variations de coûts selon les poches de réseau, à travers la spécification et le calage d’une fonction de coût d’infrastructure ;</w:t>
      </w:r>
    </w:p>
    <w:p w14:paraId="3D989165" w14:textId="75DD49D4" w:rsidR="00EA37EB" w:rsidRPr="0018296C" w:rsidRDefault="00EA37EB" w:rsidP="00EA37EB">
      <w:pPr>
        <w:pStyle w:val="Paragraphedeliste"/>
        <w:numPr>
          <w:ilvl w:val="0"/>
          <w:numId w:val="33"/>
        </w:numPr>
        <w:contextualSpacing w:val="0"/>
        <w:jc w:val="both"/>
        <w:rPr>
          <w:rFonts w:ascii="Verdana" w:hAnsi="Verdana"/>
        </w:rPr>
      </w:pPr>
      <w:r>
        <w:rPr>
          <w:rFonts w:ascii="Verdana" w:hAnsi="Verdana"/>
        </w:rPr>
        <w:t xml:space="preserve">Une analyse </w:t>
      </w:r>
      <w:r w:rsidR="009B78BE">
        <w:rPr>
          <w:rFonts w:ascii="Verdana" w:hAnsi="Verdana"/>
        </w:rPr>
        <w:t xml:space="preserve">plus fine </w:t>
      </w:r>
      <w:r>
        <w:rPr>
          <w:rFonts w:ascii="Verdana" w:hAnsi="Verdana"/>
        </w:rPr>
        <w:t xml:space="preserve">des différents services rendus par le </w:t>
      </w:r>
      <w:r w:rsidR="009B78BE">
        <w:rPr>
          <w:rFonts w:ascii="Verdana" w:hAnsi="Verdana"/>
        </w:rPr>
        <w:t>gestionnaire du réseau de transport (desserte, équilibrage</w:t>
      </w:r>
      <w:r w:rsidR="009B1847">
        <w:rPr>
          <w:rFonts w:ascii="Verdana" w:hAnsi="Verdana"/>
        </w:rPr>
        <w:t xml:space="preserve"> du système</w:t>
      </w:r>
      <w:r w:rsidR="009B78BE">
        <w:rPr>
          <w:rFonts w:ascii="Verdana" w:hAnsi="Verdana"/>
        </w:rPr>
        <w:t>, et</w:t>
      </w:r>
      <w:r w:rsidR="002600AF">
        <w:rPr>
          <w:rFonts w:ascii="Verdana" w:hAnsi="Verdana"/>
        </w:rPr>
        <w:t>c</w:t>
      </w:r>
      <w:r w:rsidR="009B78BE">
        <w:rPr>
          <w:rFonts w:ascii="Verdana" w:hAnsi="Verdana"/>
        </w:rPr>
        <w:t>.)</w:t>
      </w:r>
      <w:r>
        <w:rPr>
          <w:rFonts w:ascii="Verdana" w:hAnsi="Verdana"/>
        </w:rPr>
        <w:t>, des coûts qu’ils induisent et du signal tarifaire pertinent pour les refléter.</w:t>
      </w:r>
    </w:p>
    <w:p w14:paraId="0FE05642" w14:textId="77777777" w:rsidR="008F6A29" w:rsidRPr="008F6A29" w:rsidRDefault="008F6A29" w:rsidP="008F6A29">
      <w:pPr>
        <w:jc w:val="both"/>
        <w:rPr>
          <w:rFonts w:ascii="Verdana" w:hAnsi="Verdana"/>
        </w:rPr>
      </w:pPr>
    </w:p>
    <w:p w14:paraId="2C59EB08" w14:textId="1ECB2BD2" w:rsidR="008F6A29" w:rsidRPr="008F6A29" w:rsidRDefault="00A85E8D" w:rsidP="008F6A29">
      <w:pPr>
        <w:jc w:val="both"/>
        <w:rPr>
          <w:rFonts w:ascii="Verdana" w:hAnsi="Verdana"/>
          <w:b/>
        </w:rPr>
      </w:pPr>
      <w:r w:rsidRPr="00A85E8D">
        <w:rPr>
          <w:rFonts w:ascii="Verdana" w:hAnsi="Verdana"/>
          <w:b/>
        </w:rPr>
        <w:t xml:space="preserve">Question 3 : </w:t>
      </w:r>
      <w:r w:rsidR="002600AF" w:rsidRPr="008F6A29">
        <w:rPr>
          <w:rFonts w:ascii="Verdana" w:hAnsi="Verdana"/>
          <w:b/>
        </w:rPr>
        <w:t>Ê</w:t>
      </w:r>
      <w:r w:rsidRPr="00A85E8D">
        <w:rPr>
          <w:rFonts w:ascii="Verdana" w:hAnsi="Verdana"/>
          <w:b/>
        </w:rPr>
        <w:t>tes-vous favorable à l’évolution des grilles HTB ?</w:t>
      </w:r>
      <w:r w:rsidR="008F6A29" w:rsidRPr="008F6A29">
        <w:rPr>
          <w:rFonts w:ascii="Verdana" w:hAnsi="Verdana"/>
          <w:b/>
        </w:rPr>
        <w:t xml:space="preserve"> </w:t>
      </w:r>
    </w:p>
    <w:p w14:paraId="0A15AE04" w14:textId="7C305209" w:rsidR="00274EF0" w:rsidRDefault="005B072F" w:rsidP="008F6A29">
      <w:pPr>
        <w:jc w:val="both"/>
        <w:rPr>
          <w:rFonts w:ascii="Verdana" w:hAnsi="Verdana"/>
        </w:rPr>
      </w:pPr>
      <w:r>
        <w:rPr>
          <w:rFonts w:ascii="Verdana" w:hAnsi="Verdana"/>
        </w:rPr>
        <w:t>RTE est attaché</w:t>
      </w:r>
      <w:r w:rsidR="00274EF0">
        <w:rPr>
          <w:rFonts w:ascii="Verdana" w:hAnsi="Verdana"/>
        </w:rPr>
        <w:t xml:space="preserve"> au</w:t>
      </w:r>
      <w:r w:rsidR="009B1847">
        <w:rPr>
          <w:rFonts w:ascii="Verdana" w:hAnsi="Verdana"/>
        </w:rPr>
        <w:t>x</w:t>
      </w:r>
      <w:r w:rsidR="00274EF0">
        <w:rPr>
          <w:rFonts w:ascii="Verdana" w:hAnsi="Verdana"/>
        </w:rPr>
        <w:t xml:space="preserve"> principe</w:t>
      </w:r>
      <w:r w:rsidR="009B1847">
        <w:rPr>
          <w:rFonts w:ascii="Verdana" w:hAnsi="Verdana"/>
        </w:rPr>
        <w:t>s</w:t>
      </w:r>
      <w:r w:rsidR="00274EF0">
        <w:rPr>
          <w:rFonts w:ascii="Verdana" w:hAnsi="Verdana"/>
        </w:rPr>
        <w:t xml:space="preserve"> d’acceptabilité et de lisibilité des évolutions de grilles tarifaires et partage le souci de la CRE de considérer avec attention les évolutions de factures induites pour les utilisateurs par une évolution de la structure du tarif.</w:t>
      </w:r>
    </w:p>
    <w:p w14:paraId="5793ACA3" w14:textId="02359898" w:rsidR="00E30AE4" w:rsidRDefault="00A85E8D" w:rsidP="008F6A29">
      <w:pPr>
        <w:jc w:val="both"/>
        <w:rPr>
          <w:rFonts w:ascii="Verdana" w:hAnsi="Verdana"/>
        </w:rPr>
      </w:pPr>
      <w:r>
        <w:rPr>
          <w:rFonts w:ascii="Verdana" w:hAnsi="Verdana"/>
        </w:rPr>
        <w:t>Comme l’indique la CRE dans le document de consultation</w:t>
      </w:r>
      <w:r w:rsidR="00E30AE4">
        <w:rPr>
          <w:rFonts w:ascii="Verdana" w:hAnsi="Verdana"/>
        </w:rPr>
        <w:t xml:space="preserve">, </w:t>
      </w:r>
      <w:r w:rsidR="00E30AE4" w:rsidRPr="00E30AE4">
        <w:rPr>
          <w:rFonts w:ascii="Verdana" w:hAnsi="Verdana"/>
        </w:rPr>
        <w:t xml:space="preserve">les estimations chiffrées </w:t>
      </w:r>
      <w:r w:rsidR="00E30AE4">
        <w:rPr>
          <w:rFonts w:ascii="Verdana" w:hAnsi="Verdana"/>
        </w:rPr>
        <w:t xml:space="preserve">qui sont présentées </w:t>
      </w:r>
      <w:r w:rsidR="00E30AE4" w:rsidRPr="00E30AE4">
        <w:rPr>
          <w:rFonts w:ascii="Verdana" w:hAnsi="Verdana"/>
        </w:rPr>
        <w:t>ne tiennent pas compte</w:t>
      </w:r>
      <w:r w:rsidR="00B01573">
        <w:rPr>
          <w:rFonts w:ascii="Verdana" w:hAnsi="Verdana"/>
        </w:rPr>
        <w:t xml:space="preserve"> des tarifs de dépassement de puissance souscrite ni des optimisations de puissance souscrite dans le</w:t>
      </w:r>
      <w:r w:rsidR="00E30AE4" w:rsidRPr="00E30AE4">
        <w:rPr>
          <w:rFonts w:ascii="Verdana" w:hAnsi="Verdana"/>
        </w:rPr>
        <w:t xml:space="preserve"> choix de version</w:t>
      </w:r>
      <w:r w:rsidR="00E30AE4">
        <w:rPr>
          <w:rFonts w:ascii="Verdana" w:hAnsi="Verdana"/>
        </w:rPr>
        <w:t xml:space="preserve"> tarifaire</w:t>
      </w:r>
      <w:r w:rsidR="00E30AE4" w:rsidRPr="00E30AE4">
        <w:rPr>
          <w:rFonts w:ascii="Verdana" w:hAnsi="Verdana"/>
        </w:rPr>
        <w:t xml:space="preserve"> </w:t>
      </w:r>
      <w:r w:rsidR="00E30AE4">
        <w:rPr>
          <w:rFonts w:ascii="Verdana" w:hAnsi="Verdana"/>
        </w:rPr>
        <w:t xml:space="preserve">que vont opérer les utilisateurs du RPT pour optimiser leur facture au regard de leur courbe de charge et des </w:t>
      </w:r>
      <w:r w:rsidR="00EA37EB">
        <w:rPr>
          <w:rFonts w:ascii="Verdana" w:hAnsi="Verdana"/>
        </w:rPr>
        <w:t xml:space="preserve">différentes jeux de </w:t>
      </w:r>
      <w:r w:rsidR="00E30AE4">
        <w:rPr>
          <w:rFonts w:ascii="Verdana" w:hAnsi="Verdana"/>
        </w:rPr>
        <w:t>coefficients tarifaires.</w:t>
      </w:r>
    </w:p>
    <w:p w14:paraId="6F191D8C" w14:textId="5D2BA74E" w:rsidR="00DF7C01" w:rsidRDefault="00EA37EB" w:rsidP="008F6A29">
      <w:pPr>
        <w:jc w:val="both"/>
        <w:rPr>
          <w:rFonts w:ascii="Verdana" w:hAnsi="Verdana"/>
        </w:rPr>
      </w:pPr>
      <w:r>
        <w:rPr>
          <w:rFonts w:ascii="Verdana" w:hAnsi="Verdana"/>
        </w:rPr>
        <w:t xml:space="preserve">A partir des grilles tarifaires proposées par la CRE et des </w:t>
      </w:r>
      <w:r w:rsidR="00DF7C01">
        <w:rPr>
          <w:rFonts w:ascii="Verdana" w:hAnsi="Verdana"/>
        </w:rPr>
        <w:t xml:space="preserve">courbes de charges </w:t>
      </w:r>
      <w:r w:rsidR="004D681A">
        <w:rPr>
          <w:rFonts w:ascii="Verdana" w:hAnsi="Verdana"/>
        </w:rPr>
        <w:t xml:space="preserve">2014 </w:t>
      </w:r>
      <w:r w:rsidR="00DF7C01">
        <w:rPr>
          <w:rFonts w:ascii="Verdana" w:hAnsi="Verdana"/>
        </w:rPr>
        <w:t xml:space="preserve">à 2019 des clients raccordés en HTB, </w:t>
      </w:r>
      <w:r w:rsidR="00E30AE4">
        <w:rPr>
          <w:rFonts w:ascii="Verdana" w:hAnsi="Verdana"/>
        </w:rPr>
        <w:t>RTE a réalisé</w:t>
      </w:r>
      <w:r w:rsidR="009B1847">
        <w:rPr>
          <w:rFonts w:ascii="Verdana" w:hAnsi="Verdana"/>
        </w:rPr>
        <w:t>,</w:t>
      </w:r>
      <w:r w:rsidR="00E30AE4">
        <w:rPr>
          <w:rFonts w:ascii="Verdana" w:hAnsi="Verdana"/>
        </w:rPr>
        <w:t xml:space="preserve"> </w:t>
      </w:r>
      <w:r w:rsidR="00DF7C01">
        <w:rPr>
          <w:rFonts w:ascii="Verdana" w:hAnsi="Verdana"/>
        </w:rPr>
        <w:t xml:space="preserve">pour chaque </w:t>
      </w:r>
      <w:r w:rsidR="009B1847">
        <w:rPr>
          <w:rFonts w:ascii="Verdana" w:hAnsi="Verdana"/>
        </w:rPr>
        <w:t>point de livraison,</w:t>
      </w:r>
      <w:r w:rsidR="00DF7C01">
        <w:rPr>
          <w:rFonts w:ascii="Verdana" w:hAnsi="Verdana"/>
        </w:rPr>
        <w:t xml:space="preserve"> </w:t>
      </w:r>
      <w:r w:rsidR="00E30AE4">
        <w:rPr>
          <w:rFonts w:ascii="Verdana" w:hAnsi="Verdana"/>
        </w:rPr>
        <w:t xml:space="preserve">des simulations </w:t>
      </w:r>
      <w:r w:rsidR="0036274C">
        <w:rPr>
          <w:rFonts w:ascii="Verdana" w:hAnsi="Verdana"/>
        </w:rPr>
        <w:t>d’évolution de factures</w:t>
      </w:r>
      <w:r w:rsidR="00DF7C01">
        <w:rPr>
          <w:rFonts w:ascii="Verdana" w:hAnsi="Verdana"/>
        </w:rPr>
        <w:t>, entre TURPE 5 et TURPE 6,</w:t>
      </w:r>
      <w:r w:rsidR="0036274C">
        <w:rPr>
          <w:rFonts w:ascii="Verdana" w:hAnsi="Verdana"/>
        </w:rPr>
        <w:t xml:space="preserve"> </w:t>
      </w:r>
      <w:r w:rsidR="00E30AE4">
        <w:rPr>
          <w:rFonts w:ascii="Verdana" w:hAnsi="Verdana"/>
        </w:rPr>
        <w:t xml:space="preserve">qui tiennent </w:t>
      </w:r>
      <w:r w:rsidR="00E30AE4">
        <w:rPr>
          <w:rFonts w:ascii="Verdana" w:hAnsi="Verdana"/>
        </w:rPr>
        <w:lastRenderedPageBreak/>
        <w:t xml:space="preserve">compte </w:t>
      </w:r>
      <w:r w:rsidR="00BD2020">
        <w:rPr>
          <w:rFonts w:ascii="Verdana" w:hAnsi="Verdana"/>
        </w:rPr>
        <w:t xml:space="preserve">de la facturation des dépassements de puissance souscrite et </w:t>
      </w:r>
      <w:r w:rsidR="00E30AE4">
        <w:rPr>
          <w:rFonts w:ascii="Verdana" w:hAnsi="Verdana"/>
        </w:rPr>
        <w:t xml:space="preserve">des changements de versions tarifaires </w:t>
      </w:r>
      <w:r w:rsidR="0036274C">
        <w:rPr>
          <w:rFonts w:ascii="Verdana" w:hAnsi="Verdana"/>
        </w:rPr>
        <w:t>qu’une partie</w:t>
      </w:r>
      <w:r w:rsidR="00E30AE4">
        <w:rPr>
          <w:rFonts w:ascii="Verdana" w:hAnsi="Verdana"/>
        </w:rPr>
        <w:t xml:space="preserve"> des utilisateurs </w:t>
      </w:r>
      <w:r w:rsidR="00DF7C01">
        <w:rPr>
          <w:rFonts w:ascii="Verdana" w:hAnsi="Verdana"/>
        </w:rPr>
        <w:t>aura</w:t>
      </w:r>
      <w:r w:rsidR="00E30AE4">
        <w:rPr>
          <w:rFonts w:ascii="Verdana" w:hAnsi="Verdana"/>
        </w:rPr>
        <w:t xml:space="preserve"> intérêt à opérer</w:t>
      </w:r>
      <w:r w:rsidR="00DF7C01">
        <w:rPr>
          <w:rStyle w:val="Appelnotedebasdep"/>
          <w:rFonts w:ascii="Verdana" w:hAnsi="Verdana"/>
        </w:rPr>
        <w:footnoteReference w:id="2"/>
      </w:r>
      <w:r w:rsidR="00E30AE4">
        <w:rPr>
          <w:rFonts w:ascii="Verdana" w:hAnsi="Verdana"/>
        </w:rPr>
        <w:t xml:space="preserve">. </w:t>
      </w:r>
      <w:r w:rsidR="00DF7C01">
        <w:rPr>
          <w:rFonts w:ascii="Verdana" w:hAnsi="Verdana"/>
        </w:rPr>
        <w:t>Concrètement, pour chaque courbe de charge, RTE a déterminé la puissance souscrite</w:t>
      </w:r>
      <w:r w:rsidR="00DF7C01">
        <w:rPr>
          <w:rStyle w:val="Appelnotedebasdep"/>
          <w:rFonts w:ascii="Verdana" w:hAnsi="Verdana"/>
        </w:rPr>
        <w:footnoteReference w:id="3"/>
      </w:r>
      <w:r w:rsidR="00DF7C01">
        <w:rPr>
          <w:rFonts w:ascii="Verdana" w:hAnsi="Verdana"/>
        </w:rPr>
        <w:t xml:space="preserve"> et la version tarifaire optimisées</w:t>
      </w:r>
      <w:r w:rsidR="00DF7C01">
        <w:rPr>
          <w:rStyle w:val="Appelnotedebasdep"/>
          <w:rFonts w:ascii="Verdana" w:hAnsi="Verdana"/>
        </w:rPr>
        <w:footnoteReference w:id="4"/>
      </w:r>
      <w:r w:rsidR="00DF7C01">
        <w:rPr>
          <w:rFonts w:ascii="Verdana" w:hAnsi="Verdana"/>
        </w:rPr>
        <w:t xml:space="preserve"> pour les grilles tarifaires TURPE 5 actuelles (en vigueur depuis le 1</w:t>
      </w:r>
      <w:r w:rsidR="00DF7C01" w:rsidRPr="00DF7C01">
        <w:rPr>
          <w:rFonts w:ascii="Verdana" w:hAnsi="Verdana"/>
          <w:vertAlign w:val="superscript"/>
        </w:rPr>
        <w:t>er</w:t>
      </w:r>
      <w:r w:rsidR="00DF7C01">
        <w:rPr>
          <w:rFonts w:ascii="Verdana" w:hAnsi="Verdana"/>
        </w:rPr>
        <w:t xml:space="preserve"> août 2019) d’une part, et pour les grilles tarifaires TURPE 6 présentées par la CRE d’autre part</w:t>
      </w:r>
      <w:r w:rsidR="00A01554">
        <w:rPr>
          <w:rFonts w:ascii="Verdana" w:hAnsi="Verdana"/>
        </w:rPr>
        <w:t xml:space="preserve"> (hors prise en compte d’une évolution possible à venir du niveau du tarif)</w:t>
      </w:r>
      <w:r w:rsidR="00DF7C01">
        <w:rPr>
          <w:rFonts w:ascii="Verdana" w:hAnsi="Verdana"/>
        </w:rPr>
        <w:t>.</w:t>
      </w:r>
    </w:p>
    <w:p w14:paraId="0FB6E977" w14:textId="77E8ABF2" w:rsidR="008F6A29" w:rsidRDefault="00DF7C01" w:rsidP="00BD2020">
      <w:pPr>
        <w:jc w:val="both"/>
        <w:rPr>
          <w:rFonts w:ascii="Verdana" w:hAnsi="Verdana"/>
        </w:rPr>
      </w:pPr>
      <w:r>
        <w:rPr>
          <w:rFonts w:ascii="Verdana" w:hAnsi="Verdana"/>
        </w:rPr>
        <w:t>Ces simulations conduisent aux principaux résultats suivants</w:t>
      </w:r>
      <w:r w:rsidR="00025DEB">
        <w:rPr>
          <w:rFonts w:ascii="Verdana" w:hAnsi="Verdana"/>
        </w:rPr>
        <w:t>, parfois sensiblement différents de ceux présentés par la CRE dans sa consultation</w:t>
      </w:r>
      <w:r>
        <w:rPr>
          <w:rFonts w:ascii="Verdana" w:hAnsi="Verdana"/>
        </w:rPr>
        <w:t> :</w:t>
      </w:r>
    </w:p>
    <w:p w14:paraId="7D61FD4F" w14:textId="18DACA64" w:rsidR="00BD2020" w:rsidRDefault="00DF7C01" w:rsidP="00BD2020">
      <w:pPr>
        <w:pStyle w:val="Paragraphedeliste"/>
        <w:numPr>
          <w:ilvl w:val="0"/>
          <w:numId w:val="33"/>
        </w:numPr>
        <w:contextualSpacing w:val="0"/>
        <w:jc w:val="both"/>
        <w:rPr>
          <w:rFonts w:ascii="Verdana" w:hAnsi="Verdana"/>
        </w:rPr>
      </w:pPr>
      <w:r>
        <w:rPr>
          <w:rFonts w:ascii="Verdana" w:hAnsi="Verdana"/>
        </w:rPr>
        <w:t xml:space="preserve">Les grilles tarifaires TURPE 6 </w:t>
      </w:r>
      <w:r w:rsidR="006667B9">
        <w:rPr>
          <w:rFonts w:ascii="Verdana" w:hAnsi="Verdana"/>
        </w:rPr>
        <w:t>envisagées par la CRE</w:t>
      </w:r>
      <w:r>
        <w:rPr>
          <w:rFonts w:ascii="Verdana" w:hAnsi="Verdana"/>
        </w:rPr>
        <w:t xml:space="preserve"> ne sont pas exactement à iso-niveau par rapport aux grilles actuelles (</w:t>
      </w:r>
      <w:r w:rsidR="00025DEB">
        <w:rPr>
          <w:rFonts w:ascii="Verdana" w:hAnsi="Verdana"/>
        </w:rPr>
        <w:t xml:space="preserve">baisse </w:t>
      </w:r>
      <w:r>
        <w:rPr>
          <w:rFonts w:ascii="Verdana" w:hAnsi="Verdana"/>
        </w:rPr>
        <w:t>de</w:t>
      </w:r>
      <w:r w:rsidR="009B1847">
        <w:rPr>
          <w:rFonts w:ascii="Verdana" w:hAnsi="Verdana"/>
        </w:rPr>
        <w:t xml:space="preserve"> recettes de</w:t>
      </w:r>
      <w:r>
        <w:rPr>
          <w:rFonts w:ascii="Verdana" w:hAnsi="Verdana"/>
        </w:rPr>
        <w:t xml:space="preserve"> </w:t>
      </w:r>
      <w:r w:rsidR="00BD2020">
        <w:rPr>
          <w:rFonts w:ascii="Verdana" w:hAnsi="Verdana"/>
        </w:rPr>
        <w:t xml:space="preserve">-1,5% environ), donc il convient de majorer les coefficients tarifaires TURPE 6 </w:t>
      </w:r>
      <w:r w:rsidR="00D147ED">
        <w:rPr>
          <w:rFonts w:ascii="Verdana" w:hAnsi="Verdana"/>
        </w:rPr>
        <w:t xml:space="preserve">présentés </w:t>
      </w:r>
      <w:r w:rsidR="00BD2020">
        <w:rPr>
          <w:rFonts w:ascii="Verdana" w:hAnsi="Verdana"/>
        </w:rPr>
        <w:t xml:space="preserve">de </w:t>
      </w:r>
      <w:r w:rsidR="00BD2020" w:rsidRPr="00046505">
        <w:rPr>
          <w:rFonts w:ascii="Verdana" w:hAnsi="Verdana"/>
        </w:rPr>
        <w:t>1,</w:t>
      </w:r>
      <w:r w:rsidR="00046505">
        <w:rPr>
          <w:rFonts w:ascii="Verdana" w:hAnsi="Verdana"/>
        </w:rPr>
        <w:t>3</w:t>
      </w:r>
      <w:r w:rsidR="00BD2020" w:rsidRPr="00046505">
        <w:rPr>
          <w:rFonts w:ascii="Verdana" w:hAnsi="Verdana"/>
        </w:rPr>
        <w:t>%</w:t>
      </w:r>
      <w:r w:rsidR="00BD2020">
        <w:rPr>
          <w:rFonts w:ascii="Verdana" w:hAnsi="Verdana"/>
        </w:rPr>
        <w:t xml:space="preserve"> pour rendre les grilles comparables (cette majoration est appliquée pour les résultats suivants) ;</w:t>
      </w:r>
    </w:p>
    <w:p w14:paraId="33E589A8" w14:textId="50E56018" w:rsidR="000C7B0F" w:rsidRPr="000C7B0F" w:rsidRDefault="00046505" w:rsidP="000C7B0F">
      <w:pPr>
        <w:pStyle w:val="Paragraphedeliste"/>
        <w:numPr>
          <w:ilvl w:val="0"/>
          <w:numId w:val="33"/>
        </w:numPr>
        <w:contextualSpacing w:val="0"/>
        <w:jc w:val="both"/>
        <w:rPr>
          <w:rFonts w:ascii="Verdana" w:hAnsi="Verdana"/>
        </w:rPr>
      </w:pPr>
      <w:r w:rsidRPr="00046505">
        <w:rPr>
          <w:rFonts w:ascii="Verdana" w:hAnsi="Verdana"/>
        </w:rPr>
        <w:t>3</w:t>
      </w:r>
      <w:r>
        <w:rPr>
          <w:rFonts w:ascii="Verdana" w:hAnsi="Verdana"/>
        </w:rPr>
        <w:t>4</w:t>
      </w:r>
      <w:r w:rsidR="00BD2020" w:rsidRPr="00046505">
        <w:rPr>
          <w:rFonts w:ascii="Verdana" w:hAnsi="Verdana"/>
        </w:rPr>
        <w:t>%</w:t>
      </w:r>
      <w:r w:rsidR="00BD2020">
        <w:rPr>
          <w:rFonts w:ascii="Verdana" w:hAnsi="Verdana"/>
        </w:rPr>
        <w:t xml:space="preserve"> des clients auraient intérêt à changer de version tarifaire entre </w:t>
      </w:r>
      <w:r w:rsidR="009D37C9">
        <w:rPr>
          <w:rFonts w:ascii="Verdana" w:hAnsi="Verdana"/>
        </w:rPr>
        <w:br/>
      </w:r>
      <w:r w:rsidR="00BD2020">
        <w:rPr>
          <w:rFonts w:ascii="Verdana" w:hAnsi="Verdana"/>
        </w:rPr>
        <w:t>TURPE 5 et TURPE 6 ;</w:t>
      </w:r>
    </w:p>
    <w:p w14:paraId="5C2A6CEF" w14:textId="73099042" w:rsidR="009B78BE" w:rsidRDefault="009B78BE" w:rsidP="00BD2020">
      <w:pPr>
        <w:pStyle w:val="Paragraphedeliste"/>
        <w:numPr>
          <w:ilvl w:val="0"/>
          <w:numId w:val="33"/>
        </w:numPr>
        <w:contextualSpacing w:val="0"/>
        <w:jc w:val="both"/>
        <w:rPr>
          <w:rFonts w:ascii="Verdana" w:hAnsi="Verdana"/>
        </w:rPr>
      </w:pPr>
      <w:r>
        <w:rPr>
          <w:rFonts w:ascii="Verdana" w:hAnsi="Verdana"/>
        </w:rPr>
        <w:t xml:space="preserve">La catégorie de clients qui, à </w:t>
      </w:r>
      <w:r w:rsidR="00D147ED">
        <w:rPr>
          <w:rFonts w:ascii="Verdana" w:hAnsi="Verdana"/>
        </w:rPr>
        <w:t>niveau de TURPE globalement constant</w:t>
      </w:r>
      <w:r>
        <w:rPr>
          <w:rFonts w:ascii="Verdana" w:hAnsi="Verdana"/>
        </w:rPr>
        <w:t>, bénéficie de diminution</w:t>
      </w:r>
      <w:r w:rsidR="009D37C9">
        <w:rPr>
          <w:rFonts w:ascii="Verdana" w:hAnsi="Verdana"/>
        </w:rPr>
        <w:t>s</w:t>
      </w:r>
      <w:r>
        <w:rPr>
          <w:rFonts w:ascii="Verdana" w:hAnsi="Verdana"/>
        </w:rPr>
        <w:t xml:space="preserve"> de facture</w:t>
      </w:r>
      <w:r w:rsidR="009D37C9">
        <w:rPr>
          <w:rFonts w:ascii="Verdana" w:hAnsi="Verdana"/>
        </w:rPr>
        <w:t>s,</w:t>
      </w:r>
      <w:r>
        <w:rPr>
          <w:rFonts w:ascii="Verdana" w:hAnsi="Verdana"/>
        </w:rPr>
        <w:t xml:space="preserve"> est celle des </w:t>
      </w:r>
      <w:r w:rsidR="00D147ED">
        <w:rPr>
          <w:rFonts w:ascii="Verdana" w:hAnsi="Verdana"/>
        </w:rPr>
        <w:t>gestionnaires de réseau de distribution</w:t>
      </w:r>
      <w:r>
        <w:rPr>
          <w:rFonts w:ascii="Verdana" w:hAnsi="Verdana"/>
        </w:rPr>
        <w:t>, comme dans l’estimation CRE, mais dans une proportion deux fois plus importante (-0,6% contre -0,3% dans l’estimation de la CRE) ;</w:t>
      </w:r>
    </w:p>
    <w:p w14:paraId="18A94A54" w14:textId="34194DC3" w:rsidR="000C7B0F" w:rsidRDefault="009B78BE" w:rsidP="00BD2020">
      <w:pPr>
        <w:pStyle w:val="Paragraphedeliste"/>
        <w:numPr>
          <w:ilvl w:val="0"/>
          <w:numId w:val="33"/>
        </w:numPr>
        <w:contextualSpacing w:val="0"/>
        <w:jc w:val="both"/>
        <w:rPr>
          <w:rFonts w:ascii="Verdana" w:hAnsi="Verdana"/>
        </w:rPr>
      </w:pPr>
      <w:r>
        <w:rPr>
          <w:rFonts w:ascii="Verdana" w:hAnsi="Verdana"/>
        </w:rPr>
        <w:t>Les secteurs d’activité</w:t>
      </w:r>
      <w:r w:rsidR="000C7B0F">
        <w:rPr>
          <w:rFonts w:ascii="Verdana" w:hAnsi="Verdana"/>
        </w:rPr>
        <w:t xml:space="preserve"> dont les points de livraison supportent les </w:t>
      </w:r>
      <w:r w:rsidR="00D147ED">
        <w:rPr>
          <w:rFonts w:ascii="Verdana" w:hAnsi="Verdana"/>
        </w:rPr>
        <w:t xml:space="preserve">plus </w:t>
      </w:r>
      <w:r w:rsidR="000C7B0F">
        <w:rPr>
          <w:rFonts w:ascii="Verdana" w:hAnsi="Verdana"/>
        </w:rPr>
        <w:t>fortes augmentations de facture</w:t>
      </w:r>
      <w:r w:rsidR="00D147ED">
        <w:rPr>
          <w:rFonts w:ascii="Verdana" w:hAnsi="Verdana"/>
        </w:rPr>
        <w:t>s</w:t>
      </w:r>
      <w:r w:rsidR="000C7B0F">
        <w:rPr>
          <w:rFonts w:ascii="Verdana" w:hAnsi="Verdana"/>
        </w:rPr>
        <w:t xml:space="preserve">, </w:t>
      </w:r>
      <w:r w:rsidR="00D147ED">
        <w:rPr>
          <w:rFonts w:ascii="Verdana" w:hAnsi="Verdana"/>
        </w:rPr>
        <w:t>à niveau de TURPE globalement constant</w:t>
      </w:r>
      <w:r w:rsidR="000C7B0F">
        <w:rPr>
          <w:rFonts w:ascii="Verdana" w:hAnsi="Verdana"/>
        </w:rPr>
        <w:t xml:space="preserve">, sont les mêmes que dans les estimations de la CRE, mais dans des proportions </w:t>
      </w:r>
      <w:r w:rsidR="00025DEB">
        <w:rPr>
          <w:rFonts w:ascii="Verdana" w:hAnsi="Verdana"/>
        </w:rPr>
        <w:t xml:space="preserve">sensiblement </w:t>
      </w:r>
      <w:r w:rsidR="000C7B0F">
        <w:rPr>
          <w:rFonts w:ascii="Verdana" w:hAnsi="Verdana"/>
        </w:rPr>
        <w:t xml:space="preserve">différentes : </w:t>
      </w:r>
    </w:p>
    <w:tbl>
      <w:tblPr>
        <w:tblStyle w:val="Grilledutableau"/>
        <w:tblW w:w="8497" w:type="dxa"/>
        <w:tblInd w:w="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4"/>
        <w:gridCol w:w="2126"/>
        <w:gridCol w:w="2127"/>
      </w:tblGrid>
      <w:tr w:rsidR="00C523CE" w:rsidRPr="00274EF0" w14:paraId="3DCB9153" w14:textId="77777777" w:rsidTr="00C523CE">
        <w:tc>
          <w:tcPr>
            <w:tcW w:w="4244" w:type="dxa"/>
            <w:tcBorders>
              <w:bottom w:val="single" w:sz="4" w:space="0" w:color="auto"/>
            </w:tcBorders>
          </w:tcPr>
          <w:p w14:paraId="375F02CB" w14:textId="082D855D" w:rsidR="000C7B0F" w:rsidRPr="00D147ED" w:rsidRDefault="000C7B0F" w:rsidP="000C7B0F">
            <w:pPr>
              <w:jc w:val="both"/>
              <w:rPr>
                <w:rFonts w:ascii="Verdana" w:hAnsi="Verdana"/>
                <w:b/>
                <w:sz w:val="20"/>
                <w:szCs w:val="20"/>
              </w:rPr>
            </w:pPr>
            <w:r w:rsidRPr="00D147ED">
              <w:rPr>
                <w:rFonts w:ascii="Verdana" w:hAnsi="Verdana"/>
                <w:b/>
                <w:sz w:val="20"/>
                <w:szCs w:val="20"/>
              </w:rPr>
              <w:t>Secteur d’activité</w:t>
            </w:r>
          </w:p>
        </w:tc>
        <w:tc>
          <w:tcPr>
            <w:tcW w:w="2126" w:type="dxa"/>
            <w:tcBorders>
              <w:bottom w:val="single" w:sz="4" w:space="0" w:color="auto"/>
            </w:tcBorders>
          </w:tcPr>
          <w:p w14:paraId="52FAE882" w14:textId="2B495CAA" w:rsidR="000C7B0F" w:rsidRPr="00D147ED" w:rsidRDefault="000C7B0F" w:rsidP="00274EF0">
            <w:pPr>
              <w:jc w:val="center"/>
              <w:rPr>
                <w:rFonts w:ascii="Verdana" w:hAnsi="Verdana"/>
                <w:b/>
                <w:sz w:val="20"/>
                <w:szCs w:val="20"/>
              </w:rPr>
            </w:pPr>
            <w:r w:rsidRPr="00D147ED">
              <w:rPr>
                <w:rFonts w:ascii="Verdana" w:hAnsi="Verdana"/>
                <w:b/>
                <w:sz w:val="20"/>
                <w:szCs w:val="20"/>
              </w:rPr>
              <w:t xml:space="preserve">Estimation </w:t>
            </w:r>
            <w:r w:rsidR="00274EF0" w:rsidRPr="00D147ED">
              <w:rPr>
                <w:rFonts w:ascii="Verdana" w:hAnsi="Verdana"/>
                <w:b/>
                <w:sz w:val="20"/>
                <w:szCs w:val="20"/>
              </w:rPr>
              <w:t>RTE</w:t>
            </w:r>
          </w:p>
        </w:tc>
        <w:tc>
          <w:tcPr>
            <w:tcW w:w="2127" w:type="dxa"/>
            <w:tcBorders>
              <w:bottom w:val="single" w:sz="4" w:space="0" w:color="auto"/>
            </w:tcBorders>
          </w:tcPr>
          <w:p w14:paraId="7EB696FE" w14:textId="481B1B82" w:rsidR="000C7B0F" w:rsidRPr="00D147ED" w:rsidRDefault="000C7B0F" w:rsidP="00274EF0">
            <w:pPr>
              <w:jc w:val="center"/>
              <w:rPr>
                <w:rFonts w:ascii="Verdana" w:hAnsi="Verdana"/>
                <w:b/>
                <w:sz w:val="20"/>
                <w:szCs w:val="20"/>
              </w:rPr>
            </w:pPr>
            <w:r w:rsidRPr="00D147ED">
              <w:rPr>
                <w:rFonts w:ascii="Verdana" w:hAnsi="Verdana"/>
                <w:b/>
                <w:sz w:val="20"/>
                <w:szCs w:val="20"/>
              </w:rPr>
              <w:t xml:space="preserve">Estimation </w:t>
            </w:r>
            <w:r w:rsidR="00274EF0" w:rsidRPr="00D147ED">
              <w:rPr>
                <w:rFonts w:ascii="Verdana" w:hAnsi="Verdana"/>
                <w:b/>
                <w:sz w:val="20"/>
                <w:szCs w:val="20"/>
              </w:rPr>
              <w:t>CRE</w:t>
            </w:r>
          </w:p>
        </w:tc>
      </w:tr>
      <w:tr w:rsidR="00C523CE" w:rsidRPr="00274EF0" w14:paraId="7542FE85" w14:textId="77777777" w:rsidTr="00A9702F">
        <w:tc>
          <w:tcPr>
            <w:tcW w:w="4244" w:type="dxa"/>
            <w:tcBorders>
              <w:top w:val="single" w:sz="4" w:space="0" w:color="auto"/>
            </w:tcBorders>
            <w:shd w:val="clear" w:color="auto" w:fill="F2F2F2" w:themeFill="background1" w:themeFillShade="F2"/>
          </w:tcPr>
          <w:p w14:paraId="4592EB27" w14:textId="0209DBD9" w:rsidR="000C7B0F" w:rsidRPr="00274EF0" w:rsidRDefault="00274EF0" w:rsidP="000C7B0F">
            <w:pPr>
              <w:jc w:val="both"/>
              <w:rPr>
                <w:rFonts w:ascii="Verdana" w:hAnsi="Verdana"/>
                <w:sz w:val="20"/>
                <w:szCs w:val="20"/>
              </w:rPr>
            </w:pPr>
            <w:r w:rsidRPr="00274EF0">
              <w:rPr>
                <w:rFonts w:ascii="Verdana" w:hAnsi="Verdana"/>
                <w:sz w:val="20"/>
                <w:szCs w:val="20"/>
              </w:rPr>
              <w:t>Transport ferroviaire</w:t>
            </w:r>
          </w:p>
        </w:tc>
        <w:tc>
          <w:tcPr>
            <w:tcW w:w="2126" w:type="dxa"/>
            <w:tcBorders>
              <w:top w:val="single" w:sz="4" w:space="0" w:color="auto"/>
            </w:tcBorders>
            <w:shd w:val="clear" w:color="auto" w:fill="F2F2F2" w:themeFill="background1" w:themeFillShade="F2"/>
          </w:tcPr>
          <w:p w14:paraId="30541461" w14:textId="0AA457CE" w:rsidR="000C7B0F" w:rsidRPr="00274EF0" w:rsidRDefault="00274EF0" w:rsidP="004D681A">
            <w:pPr>
              <w:jc w:val="center"/>
              <w:rPr>
                <w:rFonts w:ascii="Verdana" w:hAnsi="Verdana"/>
                <w:sz w:val="20"/>
                <w:szCs w:val="20"/>
              </w:rPr>
            </w:pPr>
            <w:r>
              <w:rPr>
                <w:rFonts w:ascii="Verdana" w:hAnsi="Verdana"/>
                <w:sz w:val="20"/>
                <w:szCs w:val="20"/>
              </w:rPr>
              <w:t>+</w:t>
            </w:r>
            <w:r w:rsidR="004D681A">
              <w:rPr>
                <w:rFonts w:ascii="Verdana" w:hAnsi="Verdana"/>
                <w:sz w:val="20"/>
                <w:szCs w:val="20"/>
              </w:rPr>
              <w:t>10</w:t>
            </w:r>
            <w:r>
              <w:rPr>
                <w:rFonts w:ascii="Verdana" w:hAnsi="Verdana"/>
                <w:sz w:val="20"/>
                <w:szCs w:val="20"/>
              </w:rPr>
              <w:t>,1%</w:t>
            </w:r>
          </w:p>
        </w:tc>
        <w:tc>
          <w:tcPr>
            <w:tcW w:w="2127" w:type="dxa"/>
            <w:tcBorders>
              <w:top w:val="single" w:sz="4" w:space="0" w:color="auto"/>
            </w:tcBorders>
            <w:shd w:val="clear" w:color="auto" w:fill="F2F2F2" w:themeFill="background1" w:themeFillShade="F2"/>
          </w:tcPr>
          <w:p w14:paraId="249EA595" w14:textId="2AA3A8F3" w:rsidR="000C7B0F" w:rsidRPr="00274EF0" w:rsidRDefault="00274EF0" w:rsidP="000C7B0F">
            <w:pPr>
              <w:jc w:val="center"/>
              <w:rPr>
                <w:rFonts w:ascii="Verdana" w:hAnsi="Verdana"/>
                <w:sz w:val="20"/>
                <w:szCs w:val="20"/>
              </w:rPr>
            </w:pPr>
            <w:r>
              <w:rPr>
                <w:rFonts w:ascii="Verdana" w:hAnsi="Verdana"/>
                <w:sz w:val="20"/>
                <w:szCs w:val="20"/>
              </w:rPr>
              <w:t>+4,6%</w:t>
            </w:r>
          </w:p>
        </w:tc>
      </w:tr>
      <w:tr w:rsidR="00C523CE" w:rsidRPr="00274EF0" w14:paraId="30D08249" w14:textId="77777777" w:rsidTr="00C523CE">
        <w:tc>
          <w:tcPr>
            <w:tcW w:w="4244" w:type="dxa"/>
          </w:tcPr>
          <w:p w14:paraId="262B39C4" w14:textId="47E57C77" w:rsidR="000C7B0F" w:rsidRPr="00274EF0" w:rsidRDefault="00274EF0" w:rsidP="000C7B0F">
            <w:pPr>
              <w:jc w:val="both"/>
              <w:rPr>
                <w:rFonts w:ascii="Verdana" w:hAnsi="Verdana"/>
                <w:sz w:val="20"/>
                <w:szCs w:val="20"/>
              </w:rPr>
            </w:pPr>
            <w:r>
              <w:rPr>
                <w:rFonts w:ascii="Verdana" w:hAnsi="Verdana"/>
                <w:sz w:val="20"/>
                <w:szCs w:val="20"/>
              </w:rPr>
              <w:t>Production d’électricité</w:t>
            </w:r>
          </w:p>
        </w:tc>
        <w:tc>
          <w:tcPr>
            <w:tcW w:w="2126" w:type="dxa"/>
          </w:tcPr>
          <w:p w14:paraId="6353DB02" w14:textId="49E4AD5B" w:rsidR="000C7B0F" w:rsidRPr="00274EF0" w:rsidRDefault="00274EF0" w:rsidP="000C7B0F">
            <w:pPr>
              <w:jc w:val="center"/>
              <w:rPr>
                <w:rFonts w:ascii="Verdana" w:hAnsi="Verdana"/>
                <w:sz w:val="20"/>
                <w:szCs w:val="20"/>
              </w:rPr>
            </w:pPr>
            <w:r>
              <w:rPr>
                <w:rFonts w:ascii="Verdana" w:hAnsi="Verdana"/>
                <w:sz w:val="20"/>
                <w:szCs w:val="20"/>
              </w:rPr>
              <w:t>+8,6%</w:t>
            </w:r>
          </w:p>
        </w:tc>
        <w:tc>
          <w:tcPr>
            <w:tcW w:w="2127" w:type="dxa"/>
          </w:tcPr>
          <w:p w14:paraId="2305CE85" w14:textId="64DB6AE0" w:rsidR="000C7B0F" w:rsidRPr="00274EF0" w:rsidRDefault="00274EF0" w:rsidP="000C7B0F">
            <w:pPr>
              <w:jc w:val="center"/>
              <w:rPr>
                <w:rFonts w:ascii="Verdana" w:hAnsi="Verdana"/>
                <w:sz w:val="20"/>
                <w:szCs w:val="20"/>
              </w:rPr>
            </w:pPr>
            <w:r>
              <w:rPr>
                <w:rFonts w:ascii="Verdana" w:hAnsi="Verdana"/>
                <w:sz w:val="20"/>
                <w:szCs w:val="20"/>
              </w:rPr>
              <w:t>+4,8%</w:t>
            </w:r>
          </w:p>
        </w:tc>
      </w:tr>
      <w:tr w:rsidR="00C523CE" w:rsidRPr="00274EF0" w14:paraId="618E9016" w14:textId="77777777" w:rsidTr="00A9702F">
        <w:tc>
          <w:tcPr>
            <w:tcW w:w="4244" w:type="dxa"/>
            <w:shd w:val="clear" w:color="auto" w:fill="F2F2F2" w:themeFill="background1" w:themeFillShade="F2"/>
          </w:tcPr>
          <w:p w14:paraId="4A22E650" w14:textId="50A00604" w:rsidR="000C7B0F" w:rsidRPr="00274EF0" w:rsidRDefault="00274EF0" w:rsidP="000C7B0F">
            <w:pPr>
              <w:jc w:val="both"/>
              <w:rPr>
                <w:rFonts w:ascii="Verdana" w:hAnsi="Verdana"/>
                <w:sz w:val="20"/>
                <w:szCs w:val="20"/>
              </w:rPr>
            </w:pPr>
            <w:r>
              <w:rPr>
                <w:rFonts w:ascii="Verdana" w:hAnsi="Verdana"/>
                <w:sz w:val="20"/>
                <w:szCs w:val="20"/>
              </w:rPr>
              <w:t>Chimie</w:t>
            </w:r>
          </w:p>
        </w:tc>
        <w:tc>
          <w:tcPr>
            <w:tcW w:w="2126" w:type="dxa"/>
            <w:shd w:val="clear" w:color="auto" w:fill="F2F2F2" w:themeFill="background1" w:themeFillShade="F2"/>
          </w:tcPr>
          <w:p w14:paraId="37EA62F4" w14:textId="5DC94091" w:rsidR="000C7B0F" w:rsidRPr="00274EF0" w:rsidRDefault="00274EF0" w:rsidP="004D681A">
            <w:pPr>
              <w:jc w:val="center"/>
              <w:rPr>
                <w:rFonts w:ascii="Verdana" w:hAnsi="Verdana"/>
                <w:sz w:val="20"/>
                <w:szCs w:val="20"/>
              </w:rPr>
            </w:pPr>
            <w:r>
              <w:rPr>
                <w:rFonts w:ascii="Verdana" w:hAnsi="Verdana"/>
                <w:sz w:val="20"/>
                <w:szCs w:val="20"/>
              </w:rPr>
              <w:t>+4,</w:t>
            </w:r>
            <w:r w:rsidR="004D681A">
              <w:rPr>
                <w:rFonts w:ascii="Verdana" w:hAnsi="Verdana"/>
                <w:sz w:val="20"/>
                <w:szCs w:val="20"/>
              </w:rPr>
              <w:t>2</w:t>
            </w:r>
            <w:r>
              <w:rPr>
                <w:rFonts w:ascii="Verdana" w:hAnsi="Verdana"/>
                <w:sz w:val="20"/>
                <w:szCs w:val="20"/>
              </w:rPr>
              <w:t>%</w:t>
            </w:r>
          </w:p>
        </w:tc>
        <w:tc>
          <w:tcPr>
            <w:tcW w:w="2127" w:type="dxa"/>
            <w:shd w:val="clear" w:color="auto" w:fill="F2F2F2" w:themeFill="background1" w:themeFillShade="F2"/>
          </w:tcPr>
          <w:p w14:paraId="35E306F4" w14:textId="599B51DE" w:rsidR="000C7B0F" w:rsidRPr="00274EF0" w:rsidRDefault="00274EF0" w:rsidP="000C7B0F">
            <w:pPr>
              <w:jc w:val="center"/>
              <w:rPr>
                <w:rFonts w:ascii="Verdana" w:hAnsi="Verdana"/>
                <w:sz w:val="20"/>
                <w:szCs w:val="20"/>
              </w:rPr>
            </w:pPr>
            <w:r>
              <w:rPr>
                <w:rFonts w:ascii="Verdana" w:hAnsi="Verdana"/>
                <w:sz w:val="20"/>
                <w:szCs w:val="20"/>
              </w:rPr>
              <w:t>+4,6%</w:t>
            </w:r>
          </w:p>
        </w:tc>
      </w:tr>
      <w:tr w:rsidR="00C523CE" w:rsidRPr="00274EF0" w14:paraId="139A0ECB" w14:textId="77777777" w:rsidTr="00C523CE">
        <w:tc>
          <w:tcPr>
            <w:tcW w:w="4244" w:type="dxa"/>
          </w:tcPr>
          <w:p w14:paraId="353A86D7" w14:textId="36A088CA" w:rsidR="000C7B0F" w:rsidRPr="00274EF0" w:rsidRDefault="00274EF0" w:rsidP="000C7B0F">
            <w:pPr>
              <w:jc w:val="both"/>
              <w:rPr>
                <w:rFonts w:ascii="Verdana" w:hAnsi="Verdana"/>
                <w:sz w:val="20"/>
                <w:szCs w:val="20"/>
              </w:rPr>
            </w:pPr>
            <w:r>
              <w:rPr>
                <w:rFonts w:ascii="Verdana" w:hAnsi="Verdana"/>
                <w:sz w:val="20"/>
                <w:szCs w:val="20"/>
              </w:rPr>
              <w:t>Papier et carton</w:t>
            </w:r>
          </w:p>
        </w:tc>
        <w:tc>
          <w:tcPr>
            <w:tcW w:w="2126" w:type="dxa"/>
          </w:tcPr>
          <w:p w14:paraId="2153C0B2" w14:textId="0CBEE680" w:rsidR="000C7B0F" w:rsidRPr="00274EF0" w:rsidRDefault="00274EF0" w:rsidP="004D681A">
            <w:pPr>
              <w:jc w:val="center"/>
              <w:rPr>
                <w:rFonts w:ascii="Verdana" w:hAnsi="Verdana"/>
                <w:sz w:val="20"/>
                <w:szCs w:val="20"/>
              </w:rPr>
            </w:pPr>
            <w:r>
              <w:rPr>
                <w:rFonts w:ascii="Verdana" w:hAnsi="Verdana"/>
                <w:sz w:val="20"/>
                <w:szCs w:val="20"/>
              </w:rPr>
              <w:t>+</w:t>
            </w:r>
            <w:r w:rsidR="004D681A">
              <w:rPr>
                <w:rFonts w:ascii="Verdana" w:hAnsi="Verdana"/>
                <w:sz w:val="20"/>
                <w:szCs w:val="20"/>
              </w:rPr>
              <w:t>4,2</w:t>
            </w:r>
            <w:r>
              <w:rPr>
                <w:rFonts w:ascii="Verdana" w:hAnsi="Verdana"/>
                <w:sz w:val="20"/>
                <w:szCs w:val="20"/>
              </w:rPr>
              <w:t>%</w:t>
            </w:r>
          </w:p>
        </w:tc>
        <w:tc>
          <w:tcPr>
            <w:tcW w:w="2127" w:type="dxa"/>
          </w:tcPr>
          <w:p w14:paraId="2514374B" w14:textId="423976F4" w:rsidR="000C7B0F" w:rsidRPr="00274EF0" w:rsidRDefault="00274EF0" w:rsidP="000C7B0F">
            <w:pPr>
              <w:jc w:val="center"/>
              <w:rPr>
                <w:rFonts w:ascii="Verdana" w:hAnsi="Verdana"/>
                <w:sz w:val="20"/>
                <w:szCs w:val="20"/>
              </w:rPr>
            </w:pPr>
            <w:r>
              <w:rPr>
                <w:rFonts w:ascii="Verdana" w:hAnsi="Verdana"/>
                <w:sz w:val="20"/>
                <w:szCs w:val="20"/>
              </w:rPr>
              <w:t>+4,5%</w:t>
            </w:r>
          </w:p>
        </w:tc>
      </w:tr>
      <w:tr w:rsidR="00C523CE" w:rsidRPr="00274EF0" w14:paraId="09162702" w14:textId="77777777" w:rsidTr="00A9702F">
        <w:tc>
          <w:tcPr>
            <w:tcW w:w="4244" w:type="dxa"/>
            <w:shd w:val="clear" w:color="auto" w:fill="F2F2F2" w:themeFill="background1" w:themeFillShade="F2"/>
          </w:tcPr>
          <w:p w14:paraId="1D0F6716" w14:textId="31E32CA1" w:rsidR="00274EF0" w:rsidRDefault="00274EF0" w:rsidP="000C7B0F">
            <w:pPr>
              <w:jc w:val="both"/>
              <w:rPr>
                <w:rFonts w:ascii="Verdana" w:hAnsi="Verdana"/>
                <w:sz w:val="20"/>
                <w:szCs w:val="20"/>
              </w:rPr>
            </w:pPr>
            <w:r>
              <w:rPr>
                <w:rFonts w:ascii="Verdana" w:hAnsi="Verdana"/>
                <w:sz w:val="20"/>
                <w:szCs w:val="20"/>
              </w:rPr>
              <w:t>Tertiaire</w:t>
            </w:r>
          </w:p>
        </w:tc>
        <w:tc>
          <w:tcPr>
            <w:tcW w:w="2126" w:type="dxa"/>
            <w:shd w:val="clear" w:color="auto" w:fill="F2F2F2" w:themeFill="background1" w:themeFillShade="F2"/>
          </w:tcPr>
          <w:p w14:paraId="72F27B06" w14:textId="129D7E97" w:rsidR="00274EF0" w:rsidRDefault="00274EF0" w:rsidP="004D681A">
            <w:pPr>
              <w:jc w:val="center"/>
              <w:rPr>
                <w:rFonts w:ascii="Verdana" w:hAnsi="Verdana"/>
                <w:sz w:val="20"/>
                <w:szCs w:val="20"/>
              </w:rPr>
            </w:pPr>
            <w:r>
              <w:rPr>
                <w:rFonts w:ascii="Verdana" w:hAnsi="Verdana"/>
                <w:sz w:val="20"/>
                <w:szCs w:val="20"/>
              </w:rPr>
              <w:t>+</w:t>
            </w:r>
            <w:r w:rsidR="004D681A">
              <w:rPr>
                <w:rFonts w:ascii="Verdana" w:hAnsi="Verdana"/>
                <w:sz w:val="20"/>
                <w:szCs w:val="20"/>
              </w:rPr>
              <w:t>4,1</w:t>
            </w:r>
            <w:r>
              <w:rPr>
                <w:rFonts w:ascii="Verdana" w:hAnsi="Verdana"/>
                <w:sz w:val="20"/>
                <w:szCs w:val="20"/>
              </w:rPr>
              <w:t>%</w:t>
            </w:r>
          </w:p>
        </w:tc>
        <w:tc>
          <w:tcPr>
            <w:tcW w:w="2127" w:type="dxa"/>
            <w:shd w:val="clear" w:color="auto" w:fill="F2F2F2" w:themeFill="background1" w:themeFillShade="F2"/>
          </w:tcPr>
          <w:p w14:paraId="5B6692AF" w14:textId="271CB8A0" w:rsidR="00274EF0" w:rsidRDefault="00274EF0" w:rsidP="000C7B0F">
            <w:pPr>
              <w:jc w:val="center"/>
              <w:rPr>
                <w:rFonts w:ascii="Verdana" w:hAnsi="Verdana"/>
                <w:sz w:val="20"/>
                <w:szCs w:val="20"/>
              </w:rPr>
            </w:pPr>
            <w:r>
              <w:rPr>
                <w:rFonts w:ascii="Verdana" w:hAnsi="Verdana"/>
                <w:sz w:val="20"/>
                <w:szCs w:val="20"/>
              </w:rPr>
              <w:t>+4,7%</w:t>
            </w:r>
          </w:p>
        </w:tc>
      </w:tr>
      <w:tr w:rsidR="00C523CE" w:rsidRPr="00274EF0" w14:paraId="587EE86C" w14:textId="77777777" w:rsidTr="00C523CE">
        <w:tc>
          <w:tcPr>
            <w:tcW w:w="4244" w:type="dxa"/>
            <w:tcBorders>
              <w:bottom w:val="single" w:sz="4" w:space="0" w:color="auto"/>
            </w:tcBorders>
          </w:tcPr>
          <w:p w14:paraId="18362D5B" w14:textId="319555BE" w:rsidR="000C7B0F" w:rsidRPr="00274EF0" w:rsidRDefault="00274EF0" w:rsidP="000C7B0F">
            <w:pPr>
              <w:jc w:val="both"/>
              <w:rPr>
                <w:rFonts w:ascii="Verdana" w:hAnsi="Verdana"/>
                <w:sz w:val="20"/>
                <w:szCs w:val="20"/>
              </w:rPr>
            </w:pPr>
            <w:r>
              <w:rPr>
                <w:rFonts w:ascii="Verdana" w:hAnsi="Verdana"/>
                <w:sz w:val="20"/>
                <w:szCs w:val="20"/>
              </w:rPr>
              <w:t>Energie et combustible minéraux solides</w:t>
            </w:r>
          </w:p>
        </w:tc>
        <w:tc>
          <w:tcPr>
            <w:tcW w:w="2126" w:type="dxa"/>
            <w:tcBorders>
              <w:bottom w:val="single" w:sz="4" w:space="0" w:color="auto"/>
            </w:tcBorders>
          </w:tcPr>
          <w:p w14:paraId="7176CAF5" w14:textId="3F0E2246" w:rsidR="000C7B0F" w:rsidRPr="00274EF0" w:rsidRDefault="00274EF0" w:rsidP="004D681A">
            <w:pPr>
              <w:jc w:val="center"/>
              <w:rPr>
                <w:rFonts w:ascii="Verdana" w:hAnsi="Verdana"/>
                <w:sz w:val="20"/>
                <w:szCs w:val="20"/>
              </w:rPr>
            </w:pPr>
            <w:r>
              <w:rPr>
                <w:rFonts w:ascii="Verdana" w:hAnsi="Verdana"/>
                <w:sz w:val="20"/>
                <w:szCs w:val="20"/>
              </w:rPr>
              <w:t>+3,</w:t>
            </w:r>
            <w:r w:rsidR="004D681A">
              <w:rPr>
                <w:rFonts w:ascii="Verdana" w:hAnsi="Verdana"/>
                <w:sz w:val="20"/>
                <w:szCs w:val="20"/>
              </w:rPr>
              <w:t>5</w:t>
            </w:r>
            <w:r>
              <w:rPr>
                <w:rFonts w:ascii="Verdana" w:hAnsi="Verdana"/>
                <w:sz w:val="20"/>
                <w:szCs w:val="20"/>
              </w:rPr>
              <w:t>%</w:t>
            </w:r>
          </w:p>
        </w:tc>
        <w:tc>
          <w:tcPr>
            <w:tcW w:w="2127" w:type="dxa"/>
            <w:tcBorders>
              <w:bottom w:val="single" w:sz="4" w:space="0" w:color="auto"/>
            </w:tcBorders>
          </w:tcPr>
          <w:p w14:paraId="7554FD1B" w14:textId="28482997" w:rsidR="000C7B0F" w:rsidRPr="00274EF0" w:rsidRDefault="00274EF0" w:rsidP="000C7B0F">
            <w:pPr>
              <w:jc w:val="center"/>
              <w:rPr>
                <w:rFonts w:ascii="Verdana" w:hAnsi="Verdana"/>
                <w:sz w:val="20"/>
                <w:szCs w:val="20"/>
              </w:rPr>
            </w:pPr>
            <w:r>
              <w:rPr>
                <w:rFonts w:ascii="Verdana" w:hAnsi="Verdana"/>
                <w:sz w:val="20"/>
                <w:szCs w:val="20"/>
              </w:rPr>
              <w:t>+4,9%</w:t>
            </w:r>
          </w:p>
        </w:tc>
      </w:tr>
    </w:tbl>
    <w:p w14:paraId="73705BCC" w14:textId="77777777" w:rsidR="00274EF0" w:rsidRPr="00274EF0" w:rsidRDefault="00274EF0" w:rsidP="00A9702F">
      <w:pPr>
        <w:spacing w:after="0"/>
        <w:jc w:val="both"/>
        <w:rPr>
          <w:rFonts w:ascii="Verdana" w:hAnsi="Verdana"/>
        </w:rPr>
      </w:pPr>
    </w:p>
    <w:p w14:paraId="1BDCF4E1" w14:textId="23AE5CC1" w:rsidR="00BD2020" w:rsidRPr="00DF7C01" w:rsidRDefault="006667B9" w:rsidP="00BD2020">
      <w:pPr>
        <w:pStyle w:val="Paragraphedeliste"/>
        <w:numPr>
          <w:ilvl w:val="0"/>
          <w:numId w:val="33"/>
        </w:numPr>
        <w:contextualSpacing w:val="0"/>
        <w:jc w:val="both"/>
        <w:rPr>
          <w:rFonts w:ascii="Verdana" w:hAnsi="Verdana"/>
        </w:rPr>
      </w:pPr>
      <w:r>
        <w:rPr>
          <w:rFonts w:ascii="Verdana" w:hAnsi="Verdana"/>
        </w:rPr>
        <w:t xml:space="preserve">La proportion des recettes tarifaires tirées par RTE de la part puissance de la composante de soutirage est légèrement inférieure à </w:t>
      </w:r>
      <w:r w:rsidR="004D681A">
        <w:rPr>
          <w:rFonts w:ascii="Verdana" w:hAnsi="Verdana"/>
        </w:rPr>
        <w:t>38</w:t>
      </w:r>
      <w:r>
        <w:rPr>
          <w:rFonts w:ascii="Verdana" w:hAnsi="Verdana"/>
        </w:rPr>
        <w:t xml:space="preserve">% pour TURPE 6, </w:t>
      </w:r>
      <w:r w:rsidR="005B072F">
        <w:rPr>
          <w:rFonts w:ascii="Verdana" w:hAnsi="Verdana"/>
        </w:rPr>
        <w:t>(</w:t>
      </w:r>
      <w:r w:rsidR="00025DEB">
        <w:rPr>
          <w:rFonts w:ascii="Verdana" w:hAnsi="Verdana"/>
        </w:rPr>
        <w:t>alors que, selon</w:t>
      </w:r>
      <w:r>
        <w:rPr>
          <w:rFonts w:ascii="Verdana" w:hAnsi="Verdana"/>
        </w:rPr>
        <w:t xml:space="preserve"> l’estimation de la CRE</w:t>
      </w:r>
      <w:r w:rsidR="00025DEB">
        <w:rPr>
          <w:rFonts w:ascii="Verdana" w:hAnsi="Verdana"/>
        </w:rPr>
        <w:t>, elle est de 44%</w:t>
      </w:r>
      <w:r w:rsidR="005B072F">
        <w:rPr>
          <w:rFonts w:ascii="Verdana" w:hAnsi="Verdana"/>
        </w:rPr>
        <w:t xml:space="preserve">), soit une augmentation de 4 points par rapport à </w:t>
      </w:r>
      <w:r>
        <w:rPr>
          <w:rFonts w:ascii="Verdana" w:hAnsi="Verdana"/>
        </w:rPr>
        <w:t>TURPE 5</w:t>
      </w:r>
      <w:r w:rsidR="005B072F">
        <w:rPr>
          <w:rFonts w:ascii="Verdana" w:hAnsi="Verdana"/>
        </w:rPr>
        <w:t xml:space="preserve"> (</w:t>
      </w:r>
      <w:r w:rsidR="004D681A">
        <w:rPr>
          <w:rFonts w:ascii="Verdana" w:hAnsi="Verdana"/>
        </w:rPr>
        <w:t>34</w:t>
      </w:r>
      <w:r w:rsidR="005B072F">
        <w:rPr>
          <w:rFonts w:ascii="Verdana" w:hAnsi="Verdana"/>
        </w:rPr>
        <w:t>%)</w:t>
      </w:r>
      <w:r w:rsidR="0034492C">
        <w:rPr>
          <w:rFonts w:ascii="Verdana" w:hAnsi="Verdana"/>
        </w:rPr>
        <w:t xml:space="preserve">, alors que, selon l’estimation de la CRE, cette augmentation est de </w:t>
      </w:r>
      <w:r w:rsidR="004D681A">
        <w:rPr>
          <w:rFonts w:ascii="Verdana" w:hAnsi="Verdana"/>
        </w:rPr>
        <w:t xml:space="preserve">10 </w:t>
      </w:r>
      <w:r w:rsidR="0034492C">
        <w:rPr>
          <w:rFonts w:ascii="Verdana" w:hAnsi="Verdana"/>
        </w:rPr>
        <w:t>points</w:t>
      </w:r>
      <w:r w:rsidR="00C523CE">
        <w:rPr>
          <w:rFonts w:ascii="Verdana" w:hAnsi="Verdana"/>
        </w:rPr>
        <w:t>.</w:t>
      </w:r>
    </w:p>
    <w:p w14:paraId="0625B038" w14:textId="77777777" w:rsidR="0034492C" w:rsidRDefault="00274EF0" w:rsidP="008F6A29">
      <w:pPr>
        <w:jc w:val="both"/>
        <w:rPr>
          <w:rFonts w:ascii="Verdana" w:hAnsi="Verdana"/>
        </w:rPr>
      </w:pPr>
      <w:r w:rsidRPr="00C63200">
        <w:rPr>
          <w:rFonts w:ascii="Verdana" w:hAnsi="Verdana"/>
        </w:rPr>
        <w:t>RTE souligne que</w:t>
      </w:r>
      <w:r w:rsidR="00A24F1B" w:rsidRPr="00C63200">
        <w:rPr>
          <w:rFonts w:ascii="Verdana" w:hAnsi="Verdana"/>
        </w:rPr>
        <w:t xml:space="preserve"> l’augmentation de la proportion des recettes tarifaires tirées de la part puissance est une évolution </w:t>
      </w:r>
      <w:r w:rsidR="0095119C" w:rsidRPr="00C63200">
        <w:rPr>
          <w:rFonts w:ascii="Verdana" w:hAnsi="Verdana"/>
        </w:rPr>
        <w:t>nécessaire</w:t>
      </w:r>
      <w:r w:rsidR="00A24F1B">
        <w:rPr>
          <w:rFonts w:ascii="Verdana" w:hAnsi="Verdana"/>
        </w:rPr>
        <w:t xml:space="preserve"> dans un contexte de diminution structurelle de l’énergie soutirée sur le réseau de transport et de stabilité globale </w:t>
      </w:r>
      <w:r w:rsidR="00A24F1B">
        <w:rPr>
          <w:rFonts w:ascii="Verdana" w:hAnsi="Verdana"/>
        </w:rPr>
        <w:lastRenderedPageBreak/>
        <w:t>des puissances souscrites par les utilisateurs. Cette évolution doit en effet permettre de limiter les augmentations de tarifs mécaniquement induite</w:t>
      </w:r>
      <w:r w:rsidR="00C523CE">
        <w:rPr>
          <w:rFonts w:ascii="Verdana" w:hAnsi="Verdana"/>
        </w:rPr>
        <w:t>s</w:t>
      </w:r>
      <w:r w:rsidR="00A24F1B">
        <w:rPr>
          <w:rFonts w:ascii="Verdana" w:hAnsi="Verdana"/>
        </w:rPr>
        <w:t xml:space="preserve"> par le développement des énergies renouvelables raccordées sur les réseaux de distribution (facteur principal de la baisse des soutirages) et les risques de subventions croisées entre les utilisateurs.</w:t>
      </w:r>
    </w:p>
    <w:p w14:paraId="77274142" w14:textId="708C4FD1" w:rsidR="008F6A29" w:rsidRDefault="0034492C" w:rsidP="008F6A29">
      <w:pPr>
        <w:jc w:val="both"/>
        <w:rPr>
          <w:rFonts w:ascii="Verdana" w:hAnsi="Verdana"/>
        </w:rPr>
      </w:pPr>
      <w:r>
        <w:rPr>
          <w:rFonts w:ascii="Verdana" w:hAnsi="Verdana"/>
        </w:rPr>
        <w:t xml:space="preserve">RTE avait déjà sensibilisé la CRE à ce sujet au cours de la période </w:t>
      </w:r>
      <w:r w:rsidR="00B01573">
        <w:rPr>
          <w:rFonts w:ascii="Verdana" w:hAnsi="Verdana"/>
        </w:rPr>
        <w:t>TURPE </w:t>
      </w:r>
      <w:r>
        <w:rPr>
          <w:rFonts w:ascii="Verdana" w:hAnsi="Verdana"/>
        </w:rPr>
        <w:t xml:space="preserve">4 et avait souhaité une telle évolution pour </w:t>
      </w:r>
      <w:r w:rsidR="00B01573">
        <w:rPr>
          <w:rFonts w:ascii="Verdana" w:hAnsi="Verdana"/>
        </w:rPr>
        <w:t>TURPE </w:t>
      </w:r>
      <w:r>
        <w:rPr>
          <w:rFonts w:ascii="Verdana" w:hAnsi="Verdana"/>
        </w:rPr>
        <w:t xml:space="preserve">5. La CRE avait alors préféré modifier les curseurs de la </w:t>
      </w:r>
      <w:r w:rsidR="00B01573">
        <w:rPr>
          <w:rFonts w:ascii="Verdana" w:hAnsi="Verdana"/>
        </w:rPr>
        <w:t xml:space="preserve">différenciation temporelle </w:t>
      </w:r>
      <w:r>
        <w:rPr>
          <w:rFonts w:ascii="Verdana" w:hAnsi="Verdana"/>
        </w:rPr>
        <w:t xml:space="preserve">du tarif pour prendre le temps de mener un travail de fond sur le sujet dans la perspective de </w:t>
      </w:r>
      <w:r w:rsidR="00B01573">
        <w:rPr>
          <w:rFonts w:ascii="Verdana" w:hAnsi="Verdana"/>
        </w:rPr>
        <w:t>TURPE </w:t>
      </w:r>
      <w:r>
        <w:rPr>
          <w:rFonts w:ascii="Verdana" w:hAnsi="Verdana"/>
        </w:rPr>
        <w:t xml:space="preserve">6. </w:t>
      </w:r>
      <w:r w:rsidR="00A01554">
        <w:rPr>
          <w:rFonts w:ascii="Verdana" w:hAnsi="Verdana"/>
        </w:rPr>
        <w:t xml:space="preserve">Compte tenu des </w:t>
      </w:r>
      <w:r w:rsidR="00C52BA7">
        <w:rPr>
          <w:rFonts w:ascii="Verdana" w:hAnsi="Verdana"/>
        </w:rPr>
        <w:t>résultats</w:t>
      </w:r>
      <w:r>
        <w:rPr>
          <w:rFonts w:ascii="Verdana" w:hAnsi="Verdana"/>
        </w:rPr>
        <w:t xml:space="preserve"> des simulations</w:t>
      </w:r>
      <w:r w:rsidR="00C52BA7">
        <w:rPr>
          <w:rFonts w:ascii="Verdana" w:hAnsi="Verdana"/>
        </w:rPr>
        <w:t xml:space="preserve"> réalisées sur les grilles tarifaires envisagées</w:t>
      </w:r>
      <w:r>
        <w:rPr>
          <w:rFonts w:ascii="Verdana" w:hAnsi="Verdana"/>
        </w:rPr>
        <w:t xml:space="preserve"> pour </w:t>
      </w:r>
      <w:r w:rsidR="00B01573">
        <w:rPr>
          <w:rFonts w:ascii="Verdana" w:hAnsi="Verdana"/>
        </w:rPr>
        <w:t>TURPE </w:t>
      </w:r>
      <w:r>
        <w:rPr>
          <w:rFonts w:ascii="Verdana" w:hAnsi="Verdana"/>
        </w:rPr>
        <w:t>6</w:t>
      </w:r>
      <w:r w:rsidR="00A01554">
        <w:rPr>
          <w:rFonts w:ascii="Verdana" w:hAnsi="Verdana"/>
        </w:rPr>
        <w:t xml:space="preserve">, RTE estime que cette augmentation de la part puissance </w:t>
      </w:r>
      <w:r>
        <w:rPr>
          <w:rFonts w:ascii="Verdana" w:hAnsi="Verdana"/>
        </w:rPr>
        <w:t>n’est pas à la hauteur des enjeux des évolutions d</w:t>
      </w:r>
      <w:r w:rsidR="00C52BA7">
        <w:rPr>
          <w:rFonts w:ascii="Verdana" w:hAnsi="Verdana"/>
        </w:rPr>
        <w:t>e l</w:t>
      </w:r>
      <w:r>
        <w:rPr>
          <w:rFonts w:ascii="Verdana" w:hAnsi="Verdana"/>
        </w:rPr>
        <w:t>’utilisation du réseau induites par le développement des énergies renouvelables raccordées aux réseaux de distribution</w:t>
      </w:r>
      <w:r w:rsidR="00C52BA7">
        <w:rPr>
          <w:rFonts w:ascii="Verdana" w:hAnsi="Verdana"/>
        </w:rPr>
        <w:t>.</w:t>
      </w:r>
      <w:r>
        <w:rPr>
          <w:rFonts w:ascii="Verdana" w:hAnsi="Verdana"/>
        </w:rPr>
        <w:t xml:space="preserve"> </w:t>
      </w:r>
      <w:r w:rsidR="00C52BA7">
        <w:rPr>
          <w:rFonts w:ascii="Verdana" w:hAnsi="Verdana"/>
        </w:rPr>
        <w:t>S</w:t>
      </w:r>
      <w:r>
        <w:rPr>
          <w:rFonts w:ascii="Verdana" w:hAnsi="Verdana"/>
        </w:rPr>
        <w:t xml:space="preserve">i elle devait être mise en œuvre pour </w:t>
      </w:r>
      <w:r w:rsidR="00C52BA7">
        <w:rPr>
          <w:rFonts w:ascii="Verdana" w:hAnsi="Verdana"/>
        </w:rPr>
        <w:t>TURPE </w:t>
      </w:r>
      <w:r>
        <w:rPr>
          <w:rFonts w:ascii="Verdana" w:hAnsi="Verdana"/>
        </w:rPr>
        <w:t>6, il ne s’agira alors que d’un premier pas à</w:t>
      </w:r>
      <w:r w:rsidR="00A01554">
        <w:rPr>
          <w:rFonts w:ascii="Verdana" w:hAnsi="Verdana"/>
        </w:rPr>
        <w:t xml:space="preserve"> poursuivre </w:t>
      </w:r>
      <w:r>
        <w:rPr>
          <w:rFonts w:ascii="Verdana" w:hAnsi="Verdana"/>
        </w:rPr>
        <w:t xml:space="preserve">pour </w:t>
      </w:r>
      <w:r w:rsidR="00C52BA7">
        <w:rPr>
          <w:rFonts w:ascii="Verdana" w:hAnsi="Verdana"/>
        </w:rPr>
        <w:t>TURPE </w:t>
      </w:r>
      <w:r>
        <w:rPr>
          <w:rFonts w:ascii="Verdana" w:hAnsi="Verdana"/>
        </w:rPr>
        <w:t>7</w:t>
      </w:r>
      <w:r w:rsidR="00A01554">
        <w:rPr>
          <w:rFonts w:ascii="Verdana" w:hAnsi="Verdana"/>
        </w:rPr>
        <w:t>.</w:t>
      </w:r>
    </w:p>
    <w:p w14:paraId="1A0E6680" w14:textId="18CFC917" w:rsidR="00A80539" w:rsidRPr="00DE5193" w:rsidRDefault="00A80539" w:rsidP="00DE5193">
      <w:pPr>
        <w:rPr>
          <w:rFonts w:ascii="Verdana" w:hAnsi="Verdana"/>
        </w:rPr>
      </w:pPr>
      <w:bookmarkStart w:id="0" w:name="_GoBack"/>
      <w:bookmarkEnd w:id="0"/>
    </w:p>
    <w:sectPr w:rsidR="00A80539" w:rsidRPr="00DE5193" w:rsidSect="003B672F">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3367A" w14:textId="77777777" w:rsidR="008D5080" w:rsidRDefault="008D5080" w:rsidP="001C176E">
      <w:pPr>
        <w:spacing w:after="0" w:line="240" w:lineRule="auto"/>
      </w:pPr>
      <w:r>
        <w:separator/>
      </w:r>
    </w:p>
  </w:endnote>
  <w:endnote w:type="continuationSeparator" w:id="0">
    <w:p w14:paraId="3CB6012C" w14:textId="77777777" w:rsidR="008D5080" w:rsidRDefault="008D5080" w:rsidP="001C1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FranklinGothic-Medium">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A62BF" w14:textId="0D706189" w:rsidR="001B344A" w:rsidRPr="00DF0387" w:rsidRDefault="001B344A" w:rsidP="00FA3969">
    <w:pPr>
      <w:tabs>
        <w:tab w:val="center" w:pos="4550"/>
        <w:tab w:val="left" w:pos="5818"/>
      </w:tabs>
      <w:jc w:val="right"/>
      <w:rPr>
        <w:rFonts w:ascii="Verdana" w:hAnsi="Verdana"/>
      </w:rPr>
    </w:pPr>
    <w:r w:rsidRPr="00DF0387">
      <w:rPr>
        <w:rFonts w:ascii="Verdana" w:hAnsi="Verdana"/>
        <w:spacing w:val="60"/>
      </w:rPr>
      <w:t>Page</w:t>
    </w:r>
    <w:r w:rsidRPr="00DF0387">
      <w:rPr>
        <w:rFonts w:ascii="Verdana" w:hAnsi="Verdana"/>
      </w:rPr>
      <w:t xml:space="preserve"> </w:t>
    </w:r>
    <w:r w:rsidRPr="00DF0387">
      <w:rPr>
        <w:rFonts w:ascii="Verdana" w:hAnsi="Verdana"/>
      </w:rPr>
      <w:fldChar w:fldCharType="begin"/>
    </w:r>
    <w:r w:rsidRPr="00DF0387">
      <w:rPr>
        <w:rFonts w:ascii="Verdana" w:hAnsi="Verdana"/>
      </w:rPr>
      <w:instrText>PAGE   \* MERGEFORMAT</w:instrText>
    </w:r>
    <w:r w:rsidRPr="00DF0387">
      <w:rPr>
        <w:rFonts w:ascii="Verdana" w:hAnsi="Verdana"/>
      </w:rPr>
      <w:fldChar w:fldCharType="separate"/>
    </w:r>
    <w:r w:rsidR="00DE5193">
      <w:rPr>
        <w:rFonts w:ascii="Verdana" w:hAnsi="Verdana"/>
        <w:noProof/>
      </w:rPr>
      <w:t>4</w:t>
    </w:r>
    <w:r w:rsidRPr="00DF0387">
      <w:rPr>
        <w:rFonts w:ascii="Verdana" w:hAnsi="Verdana"/>
      </w:rPr>
      <w:fldChar w:fldCharType="end"/>
    </w:r>
    <w:r w:rsidRPr="00DF0387">
      <w:rPr>
        <w:rFonts w:ascii="Verdana" w:hAnsi="Verdana"/>
      </w:rPr>
      <w:t xml:space="preserve"> | </w:t>
    </w:r>
    <w:r w:rsidRPr="00DF0387">
      <w:rPr>
        <w:rFonts w:ascii="Verdana" w:hAnsi="Verdana"/>
      </w:rPr>
      <w:fldChar w:fldCharType="begin"/>
    </w:r>
    <w:r w:rsidRPr="00DF0387">
      <w:rPr>
        <w:rFonts w:ascii="Verdana" w:hAnsi="Verdana"/>
      </w:rPr>
      <w:instrText>NUMPAGES  \* Arabic  \* MERGEFORMAT</w:instrText>
    </w:r>
    <w:r w:rsidRPr="00DF0387">
      <w:rPr>
        <w:rFonts w:ascii="Verdana" w:hAnsi="Verdana"/>
      </w:rPr>
      <w:fldChar w:fldCharType="separate"/>
    </w:r>
    <w:r w:rsidR="00DE5193">
      <w:rPr>
        <w:rFonts w:ascii="Verdana" w:hAnsi="Verdana"/>
        <w:noProof/>
      </w:rPr>
      <w:t>4</w:t>
    </w:r>
    <w:r w:rsidRPr="00DF0387">
      <w:rPr>
        <w:rFonts w:ascii="Verdana" w:hAnsi="Verda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4DAAF" w14:textId="77777777" w:rsidR="001B344A" w:rsidRDefault="001B344A" w:rsidP="00B65A0C">
    <w:pPr>
      <w:pStyle w:val="En-tte"/>
    </w:pPr>
  </w:p>
  <w:p w14:paraId="71C647BC" w14:textId="5229424A" w:rsidR="001B344A" w:rsidRPr="00DF0387" w:rsidRDefault="001B344A" w:rsidP="00FA3969">
    <w:pPr>
      <w:tabs>
        <w:tab w:val="center" w:pos="4550"/>
        <w:tab w:val="left" w:pos="5818"/>
      </w:tabs>
      <w:jc w:val="right"/>
      <w:rPr>
        <w:rFonts w:ascii="Verdana" w:hAnsi="Verdana"/>
      </w:rPr>
    </w:pPr>
    <w:r w:rsidRPr="00F9106D">
      <w:rPr>
        <w:rFonts w:ascii="Verdana" w:hAnsi="Verdana"/>
        <w:spacing w:val="60"/>
      </w:rPr>
      <w:t>Page</w:t>
    </w:r>
    <w:r w:rsidRPr="00F9106D">
      <w:rPr>
        <w:rFonts w:ascii="Verdana" w:hAnsi="Verdana"/>
      </w:rPr>
      <w:t xml:space="preserve"> </w:t>
    </w:r>
    <w:r w:rsidRPr="00F9106D">
      <w:rPr>
        <w:rFonts w:ascii="Verdana" w:hAnsi="Verdana"/>
      </w:rPr>
      <w:fldChar w:fldCharType="begin"/>
    </w:r>
    <w:r w:rsidRPr="00F9106D">
      <w:rPr>
        <w:rFonts w:ascii="Verdana" w:hAnsi="Verdana"/>
      </w:rPr>
      <w:instrText>PAGE   \* MERGEFORMAT</w:instrText>
    </w:r>
    <w:r w:rsidRPr="00F9106D">
      <w:rPr>
        <w:rFonts w:ascii="Verdana" w:hAnsi="Verdana"/>
      </w:rPr>
      <w:fldChar w:fldCharType="separate"/>
    </w:r>
    <w:r w:rsidR="00DE5193">
      <w:rPr>
        <w:rFonts w:ascii="Verdana" w:hAnsi="Verdana"/>
        <w:noProof/>
      </w:rPr>
      <w:t>3</w:t>
    </w:r>
    <w:r w:rsidRPr="00F9106D">
      <w:rPr>
        <w:rFonts w:ascii="Verdana" w:hAnsi="Verdana"/>
      </w:rPr>
      <w:fldChar w:fldCharType="end"/>
    </w:r>
    <w:r w:rsidRPr="00F9106D">
      <w:rPr>
        <w:rFonts w:ascii="Verdana" w:hAnsi="Verdana"/>
      </w:rPr>
      <w:t xml:space="preserve"> | </w:t>
    </w:r>
    <w:r w:rsidRPr="00F9106D">
      <w:rPr>
        <w:rFonts w:ascii="Verdana" w:hAnsi="Verdana"/>
      </w:rPr>
      <w:fldChar w:fldCharType="begin"/>
    </w:r>
    <w:r w:rsidRPr="00F9106D">
      <w:rPr>
        <w:rFonts w:ascii="Verdana" w:hAnsi="Verdana"/>
      </w:rPr>
      <w:instrText>NUMPAGES  \* Arabic  \* MERGEFORMAT</w:instrText>
    </w:r>
    <w:r w:rsidRPr="00F9106D">
      <w:rPr>
        <w:rFonts w:ascii="Verdana" w:hAnsi="Verdana"/>
      </w:rPr>
      <w:fldChar w:fldCharType="separate"/>
    </w:r>
    <w:r w:rsidR="00DE5193">
      <w:rPr>
        <w:rFonts w:ascii="Verdana" w:hAnsi="Verdana"/>
        <w:noProof/>
      </w:rPr>
      <w:t>4</w:t>
    </w:r>
    <w:r w:rsidRPr="00F9106D">
      <w:rPr>
        <w:rFonts w:ascii="Verdana" w:hAnsi="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412060"/>
      <w:docPartObj>
        <w:docPartGallery w:val="Page Numbers (Bottom of Page)"/>
        <w:docPartUnique/>
      </w:docPartObj>
    </w:sdtPr>
    <w:sdtEndPr>
      <w:rPr>
        <w:rFonts w:ascii="Verdana" w:hAnsi="Verdana"/>
      </w:rPr>
    </w:sdtEndPr>
    <w:sdtContent>
      <w:sdt>
        <w:sdtPr>
          <w:rPr>
            <w:rFonts w:ascii="Verdana" w:hAnsi="Verdana"/>
          </w:rPr>
          <w:id w:val="-1705238520"/>
          <w:docPartObj>
            <w:docPartGallery w:val="Page Numbers (Top of Page)"/>
            <w:docPartUnique/>
          </w:docPartObj>
        </w:sdtPr>
        <w:sdtEndPr/>
        <w:sdtContent>
          <w:p w14:paraId="57211E91" w14:textId="08BCF80A" w:rsidR="001B344A" w:rsidRPr="006F67E7" w:rsidRDefault="001B344A" w:rsidP="006F67E7">
            <w:pPr>
              <w:pStyle w:val="Pieddepage"/>
              <w:jc w:val="right"/>
              <w:rPr>
                <w:rFonts w:ascii="Verdana" w:hAnsi="Verdana"/>
              </w:rPr>
            </w:pPr>
            <w:r w:rsidRPr="006F67E7">
              <w:rPr>
                <w:rFonts w:ascii="Verdana" w:hAnsi="Verdana"/>
              </w:rPr>
              <w:t xml:space="preserve">Page </w:t>
            </w:r>
            <w:r w:rsidRPr="006F67E7">
              <w:rPr>
                <w:rFonts w:ascii="Verdana" w:hAnsi="Verdana"/>
                <w:bCs/>
              </w:rPr>
              <w:fldChar w:fldCharType="begin"/>
            </w:r>
            <w:r w:rsidRPr="006F67E7">
              <w:rPr>
                <w:rFonts w:ascii="Verdana" w:hAnsi="Verdana"/>
                <w:bCs/>
              </w:rPr>
              <w:instrText>PAGE</w:instrText>
            </w:r>
            <w:r w:rsidRPr="006F67E7">
              <w:rPr>
                <w:rFonts w:ascii="Verdana" w:hAnsi="Verdana"/>
                <w:bCs/>
              </w:rPr>
              <w:fldChar w:fldCharType="separate"/>
            </w:r>
            <w:r w:rsidR="00DE5193">
              <w:rPr>
                <w:rFonts w:ascii="Verdana" w:hAnsi="Verdana"/>
                <w:bCs/>
                <w:noProof/>
              </w:rPr>
              <w:t>1</w:t>
            </w:r>
            <w:r w:rsidRPr="006F67E7">
              <w:rPr>
                <w:rFonts w:ascii="Verdana" w:hAnsi="Verdana"/>
                <w:bCs/>
              </w:rPr>
              <w:fldChar w:fldCharType="end"/>
            </w:r>
            <w:r w:rsidRPr="006F67E7">
              <w:rPr>
                <w:rFonts w:ascii="Verdana" w:hAnsi="Verdana"/>
              </w:rPr>
              <w:t xml:space="preserve"> sur </w:t>
            </w:r>
            <w:r w:rsidRPr="006F67E7">
              <w:rPr>
                <w:rFonts w:ascii="Verdana" w:hAnsi="Verdana"/>
                <w:bCs/>
              </w:rPr>
              <w:fldChar w:fldCharType="begin"/>
            </w:r>
            <w:r w:rsidRPr="006F67E7">
              <w:rPr>
                <w:rFonts w:ascii="Verdana" w:hAnsi="Verdana"/>
                <w:bCs/>
              </w:rPr>
              <w:instrText>NUMPAGES</w:instrText>
            </w:r>
            <w:r w:rsidRPr="006F67E7">
              <w:rPr>
                <w:rFonts w:ascii="Verdana" w:hAnsi="Verdana"/>
                <w:bCs/>
              </w:rPr>
              <w:fldChar w:fldCharType="separate"/>
            </w:r>
            <w:r w:rsidR="00DE5193">
              <w:rPr>
                <w:rFonts w:ascii="Verdana" w:hAnsi="Verdana"/>
                <w:bCs/>
                <w:noProof/>
              </w:rPr>
              <w:t>4</w:t>
            </w:r>
            <w:r w:rsidRPr="006F67E7">
              <w:rPr>
                <w:rFonts w:ascii="Verdana" w:hAnsi="Verdana"/>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26401" w14:textId="77777777" w:rsidR="008D5080" w:rsidRDefault="008D5080" w:rsidP="001C176E">
      <w:pPr>
        <w:spacing w:after="0" w:line="240" w:lineRule="auto"/>
      </w:pPr>
      <w:r>
        <w:separator/>
      </w:r>
    </w:p>
  </w:footnote>
  <w:footnote w:type="continuationSeparator" w:id="0">
    <w:p w14:paraId="3D3F7881" w14:textId="77777777" w:rsidR="008D5080" w:rsidRDefault="008D5080" w:rsidP="001C176E">
      <w:pPr>
        <w:spacing w:after="0" w:line="240" w:lineRule="auto"/>
      </w:pPr>
      <w:r>
        <w:continuationSeparator/>
      </w:r>
    </w:p>
  </w:footnote>
  <w:footnote w:id="1">
    <w:p w14:paraId="5E5BDEE8" w14:textId="0A4716E2" w:rsidR="001B344A" w:rsidRPr="00BA2822" w:rsidRDefault="001B344A">
      <w:pPr>
        <w:pStyle w:val="Notedebasdepage"/>
        <w:rPr>
          <w:rFonts w:ascii="Verdana" w:hAnsi="Verdana"/>
        </w:rPr>
      </w:pPr>
      <w:r w:rsidRPr="00BA2822">
        <w:rPr>
          <w:rStyle w:val="Appelnotedebasdep"/>
          <w:rFonts w:ascii="Verdana" w:hAnsi="Verdana"/>
        </w:rPr>
        <w:footnoteRef/>
      </w:r>
      <w:r w:rsidRPr="00BA2822">
        <w:rPr>
          <w:rFonts w:ascii="Verdana" w:hAnsi="Verdana"/>
        </w:rPr>
        <w:t xml:space="preserve"> https://www.rte-france.com/sites/default/files/20190909_reponse_rte_consultation_publique_cre_structure_turpe6.pdf</w:t>
      </w:r>
    </w:p>
  </w:footnote>
  <w:footnote w:id="2">
    <w:p w14:paraId="73EEE7AB" w14:textId="5B202EF2" w:rsidR="001B344A" w:rsidRPr="00DF7C01" w:rsidRDefault="001B344A" w:rsidP="00A9702F">
      <w:pPr>
        <w:pStyle w:val="Notedebasdepage"/>
        <w:jc w:val="both"/>
        <w:rPr>
          <w:rFonts w:ascii="Verdana" w:hAnsi="Verdana"/>
        </w:rPr>
      </w:pPr>
      <w:r w:rsidRPr="00DF7C01">
        <w:rPr>
          <w:rStyle w:val="Appelnotedebasdep"/>
          <w:rFonts w:ascii="Verdana" w:hAnsi="Verdana"/>
        </w:rPr>
        <w:footnoteRef/>
      </w:r>
      <w:r w:rsidRPr="00DF7C01">
        <w:rPr>
          <w:rFonts w:ascii="Verdana" w:hAnsi="Verdana"/>
        </w:rPr>
        <w:t xml:space="preserve"> </w:t>
      </w:r>
      <w:r>
        <w:rPr>
          <w:rFonts w:ascii="Verdana" w:hAnsi="Verdana"/>
        </w:rPr>
        <w:t>Hors prise en compte du dispositif d’abattement pour les sites industriels électro-intensifs, qui n’est pas non plus pris en compte dans les estimations de la CRE.</w:t>
      </w:r>
    </w:p>
  </w:footnote>
  <w:footnote w:id="3">
    <w:p w14:paraId="395E2F0D" w14:textId="5B137958" w:rsidR="001B344A" w:rsidRDefault="001B344A" w:rsidP="00A9702F">
      <w:pPr>
        <w:pStyle w:val="Notedebasdepage"/>
        <w:jc w:val="both"/>
      </w:pPr>
      <w:r w:rsidRPr="00DF7C01">
        <w:rPr>
          <w:rFonts w:ascii="Verdana" w:hAnsi="Verdana"/>
          <w:vertAlign w:val="superscript"/>
        </w:rPr>
        <w:footnoteRef/>
      </w:r>
      <w:r w:rsidRPr="00DF7C01">
        <w:rPr>
          <w:rFonts w:ascii="Verdana" w:hAnsi="Verdana"/>
        </w:rPr>
        <w:t xml:space="preserve"> Supposée constante sur les cinq plages temporelles.</w:t>
      </w:r>
    </w:p>
  </w:footnote>
  <w:footnote w:id="4">
    <w:p w14:paraId="3795FAF7" w14:textId="7FAF16E9" w:rsidR="001B344A" w:rsidRPr="00DF7C01" w:rsidRDefault="001B344A" w:rsidP="00A9702F">
      <w:pPr>
        <w:pStyle w:val="Notedebasdepage"/>
        <w:jc w:val="both"/>
        <w:rPr>
          <w:rFonts w:ascii="Verdana" w:hAnsi="Verdana"/>
        </w:rPr>
      </w:pPr>
      <w:r w:rsidRPr="00DF7C01">
        <w:rPr>
          <w:rStyle w:val="Appelnotedebasdep"/>
          <w:rFonts w:ascii="Verdana" w:hAnsi="Verdana"/>
        </w:rPr>
        <w:footnoteRef/>
      </w:r>
      <w:r w:rsidRPr="00DF7C01">
        <w:rPr>
          <w:rFonts w:ascii="Verdana" w:hAnsi="Verdana"/>
        </w:rPr>
        <w:t xml:space="preserve"> Qui conduisent à la facture minimale.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6ED7C" w14:textId="77777777" w:rsidR="001B344A" w:rsidRPr="00DF0387" w:rsidRDefault="001B344A">
    <w:pPr>
      <w:pStyle w:val="En-tte"/>
      <w:rPr>
        <w:rFonts w:ascii="Verdana" w:hAnsi="Verdana"/>
      </w:rPr>
    </w:pPr>
    <w:r w:rsidRPr="00DF0387">
      <w:rPr>
        <w:rFonts w:ascii="Verdana" w:hAnsi="Verdana"/>
        <w:noProof/>
        <w:lang w:eastAsia="fr-FR"/>
      </w:rPr>
      <mc:AlternateContent>
        <mc:Choice Requires="wps">
          <w:drawing>
            <wp:anchor distT="0" distB="0" distL="114300" distR="114300" simplePos="0" relativeHeight="251659264" behindDoc="0" locked="0" layoutInCell="1" allowOverlap="1" wp14:anchorId="6CEBC89F" wp14:editId="2C7C6FFA">
              <wp:simplePos x="0" y="0"/>
              <wp:positionH relativeFrom="column">
                <wp:posOffset>-302431</wp:posOffset>
              </wp:positionH>
              <wp:positionV relativeFrom="paragraph">
                <wp:posOffset>-174833</wp:posOffset>
              </wp:positionV>
              <wp:extent cx="47861" cy="132515"/>
              <wp:effectExtent l="0" t="0" r="9525" b="1270"/>
              <wp:wrapSquare wrapText="bothSides"/>
              <wp:docPr id="3"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861" cy="132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9C3A4" w14:textId="77777777" w:rsidR="001B344A" w:rsidRDefault="001B344A" w:rsidP="001C176E">
                          <w:r>
                            <w:rPr>
                              <w:rFonts w:ascii="Verdana" w:eastAsia="Verdana" w:hAnsi="Verdana" w:cs="Verdana"/>
                              <w:sz w:val="19"/>
                            </w:rPr>
                            <w:t xml:space="preserve"> </w:t>
                          </w:r>
                        </w:p>
                      </w:txbxContent>
                    </wps:txbx>
                    <wps:bodyPr rot="0" vert="horz" wrap="square" lIns="0" tIns="0" rIns="0" bIns="0" anchor="t" anchorCtr="0" upright="1">
                      <a:noAutofit/>
                    </wps:bodyPr>
                  </wps:wsp>
                </a:graphicData>
              </a:graphic>
            </wp:anchor>
          </w:drawing>
        </mc:Choice>
        <mc:Fallback>
          <w:pict>
            <v:rect w14:anchorId="6CEBC89F" id="Rectangle 8" o:spid="_x0000_s1026" style="position:absolute;margin-left:-23.8pt;margin-top:-13.75pt;width:3.75pt;height:10.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" filled="f" stroked="f">
              <o:lock v:ext="edit" aspectratio="t"/>
              <v:textbox inset="0,0,0,0">
                <w:txbxContent>
                  <w:p w14:paraId="14C9C3A4" w14:textId="77777777" w:rsidR="001B344A" w:rsidRDefault="001B344A" w:rsidP="001C176E">
                    <w:r>
                      <w:rPr>
                        <w:rFonts w:ascii="Verdana" w:eastAsia="Verdana" w:hAnsi="Verdana" w:cs="Verdana"/>
                        <w:sz w:val="19"/>
                      </w:rPr>
                      <w:t xml:space="preserve"> </w:t>
                    </w:r>
                  </w:p>
                </w:txbxContent>
              </v:textbox>
              <w10:wrap type="squar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D21C9" w14:textId="77777777" w:rsidR="001B344A" w:rsidRDefault="001B344A">
    <w:pPr>
      <w:pStyle w:val="En-tte"/>
    </w:pPr>
    <w:r>
      <w:rPr>
        <w:noProof/>
        <w:lang w:eastAsia="fr-FR"/>
      </w:rPr>
      <w:drawing>
        <wp:anchor distT="0" distB="0" distL="114300" distR="114300" simplePos="0" relativeHeight="251661312" behindDoc="0" locked="0" layoutInCell="1" allowOverlap="1" wp14:anchorId="3CE0992B" wp14:editId="0F60EE2D">
          <wp:simplePos x="0" y="0"/>
          <wp:positionH relativeFrom="column">
            <wp:posOffset>-781050</wp:posOffset>
          </wp:positionH>
          <wp:positionV relativeFrom="paragraph">
            <wp:posOffset>-267335</wp:posOffset>
          </wp:positionV>
          <wp:extent cx="1490335" cy="1490339"/>
          <wp:effectExtent l="0" t="0" r="0" b="0"/>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0335" cy="1490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D01"/>
    <w:multiLevelType w:val="hybridMultilevel"/>
    <w:tmpl w:val="DEFC17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1584C3F"/>
    <w:multiLevelType w:val="hybridMultilevel"/>
    <w:tmpl w:val="80BAF336"/>
    <w:lvl w:ilvl="0" w:tplc="458A100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0E7819"/>
    <w:multiLevelType w:val="hybridMultilevel"/>
    <w:tmpl w:val="29BC84BC"/>
    <w:lvl w:ilvl="0" w:tplc="6420A772">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7B5687"/>
    <w:multiLevelType w:val="hybridMultilevel"/>
    <w:tmpl w:val="E006D198"/>
    <w:lvl w:ilvl="0" w:tplc="D062DD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9512F4"/>
    <w:multiLevelType w:val="hybridMultilevel"/>
    <w:tmpl w:val="9E6C00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C764365"/>
    <w:multiLevelType w:val="hybridMultilevel"/>
    <w:tmpl w:val="54B07168"/>
    <w:lvl w:ilvl="0" w:tplc="718EE32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390272"/>
    <w:multiLevelType w:val="hybridMultilevel"/>
    <w:tmpl w:val="FDB6E6CE"/>
    <w:lvl w:ilvl="0" w:tplc="12105FD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A85F84"/>
    <w:multiLevelType w:val="hybridMultilevel"/>
    <w:tmpl w:val="90E64252"/>
    <w:lvl w:ilvl="0" w:tplc="A308DB1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F937AFE"/>
    <w:multiLevelType w:val="hybridMultilevel"/>
    <w:tmpl w:val="449456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64C2"/>
    <w:multiLevelType w:val="hybridMultilevel"/>
    <w:tmpl w:val="A350C9B4"/>
    <w:lvl w:ilvl="0" w:tplc="E15C21F2">
      <w:start w:val="1"/>
      <w:numFmt w:val="decimal"/>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5AA2423"/>
    <w:multiLevelType w:val="hybridMultilevel"/>
    <w:tmpl w:val="12209F70"/>
    <w:lvl w:ilvl="0" w:tplc="BD48EFEE">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BE40ED6"/>
    <w:multiLevelType w:val="hybridMultilevel"/>
    <w:tmpl w:val="0CA8E1D2"/>
    <w:lvl w:ilvl="0" w:tplc="C23E6F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19635F"/>
    <w:multiLevelType w:val="hybridMultilevel"/>
    <w:tmpl w:val="0ADE5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302E26"/>
    <w:multiLevelType w:val="hybridMultilevel"/>
    <w:tmpl w:val="4102391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2535256"/>
    <w:multiLevelType w:val="hybridMultilevel"/>
    <w:tmpl w:val="CA300A48"/>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33A929F3"/>
    <w:multiLevelType w:val="hybridMultilevel"/>
    <w:tmpl w:val="A70CEA38"/>
    <w:lvl w:ilvl="0" w:tplc="0CEC026E">
      <w:numFmt w:val="bullet"/>
      <w:lvlText w:val="-"/>
      <w:lvlJc w:val="left"/>
      <w:pPr>
        <w:ind w:left="405" w:hanging="360"/>
      </w:pPr>
      <w:rPr>
        <w:rFonts w:ascii="Franklin Gothic Book" w:eastAsiaTheme="minorHAnsi" w:hAnsi="Franklin Gothic Book" w:cs="Franklin Gothic Book"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6" w15:restartNumberingAfterBreak="0">
    <w:nsid w:val="357745CB"/>
    <w:multiLevelType w:val="hybridMultilevel"/>
    <w:tmpl w:val="AD3A29EC"/>
    <w:lvl w:ilvl="0" w:tplc="9744AA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CA31EC"/>
    <w:multiLevelType w:val="hybridMultilevel"/>
    <w:tmpl w:val="0E80A4D4"/>
    <w:lvl w:ilvl="0" w:tplc="A3688006">
      <w:numFmt w:val="bullet"/>
      <w:lvlText w:val=""/>
      <w:lvlJc w:val="left"/>
      <w:pPr>
        <w:ind w:left="1065" w:hanging="705"/>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5659FB"/>
    <w:multiLevelType w:val="hybridMultilevel"/>
    <w:tmpl w:val="8B7A2AC0"/>
    <w:lvl w:ilvl="0" w:tplc="DD72FA4E">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22079DC"/>
    <w:multiLevelType w:val="hybridMultilevel"/>
    <w:tmpl w:val="A12C963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0" w15:restartNumberingAfterBreak="0">
    <w:nsid w:val="45C85EAF"/>
    <w:multiLevelType w:val="hybridMultilevel"/>
    <w:tmpl w:val="ECBC68F2"/>
    <w:lvl w:ilvl="0" w:tplc="39086F8C">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E23F06"/>
    <w:multiLevelType w:val="hybridMultilevel"/>
    <w:tmpl w:val="0F3E0A9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A671F4C"/>
    <w:multiLevelType w:val="hybridMultilevel"/>
    <w:tmpl w:val="70862646"/>
    <w:lvl w:ilvl="0" w:tplc="E5ACA150">
      <w:numFmt w:val="bullet"/>
      <w:lvlText w:val=""/>
      <w:lvlJc w:val="left"/>
      <w:pPr>
        <w:ind w:left="720" w:hanging="360"/>
      </w:pPr>
      <w:rPr>
        <w:rFonts w:ascii="Wingdings" w:eastAsia="Franklin Gothic Book" w:hAnsi="Wingdings" w:cs="FranklinGothic-Medium" w:hint="default"/>
      </w:rPr>
    </w:lvl>
    <w:lvl w:ilvl="1" w:tplc="040C0003">
      <w:start w:val="1"/>
      <w:numFmt w:val="bullet"/>
      <w:lvlText w:val="o"/>
      <w:lvlJc w:val="left"/>
      <w:pPr>
        <w:ind w:left="1440" w:hanging="360"/>
      </w:pPr>
      <w:rPr>
        <w:rFonts w:ascii="Courier New" w:hAnsi="Courier New" w:cs="Courier New" w:hint="default"/>
      </w:rPr>
    </w:lvl>
    <w:lvl w:ilvl="2" w:tplc="F9222546">
      <w:numFmt w:val="bullet"/>
      <w:lvlText w:val="-"/>
      <w:lvlJc w:val="left"/>
      <w:pPr>
        <w:ind w:left="2160" w:hanging="360"/>
      </w:pPr>
      <w:rPr>
        <w:rFonts w:ascii="Franklin Gothic Book" w:eastAsia="Franklin Gothic Book" w:hAnsi="Franklin Gothic Book" w:cs="FranklinGothic-Medium"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563C4D"/>
    <w:multiLevelType w:val="hybridMultilevel"/>
    <w:tmpl w:val="7F02F11A"/>
    <w:lvl w:ilvl="0" w:tplc="F11A39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AA2500"/>
    <w:multiLevelType w:val="hybridMultilevel"/>
    <w:tmpl w:val="31C4B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B963E4"/>
    <w:multiLevelType w:val="hybridMultilevel"/>
    <w:tmpl w:val="36BEA66E"/>
    <w:lvl w:ilvl="0" w:tplc="DDC21A1E">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435B09"/>
    <w:multiLevelType w:val="hybridMultilevel"/>
    <w:tmpl w:val="6E24EE96"/>
    <w:lvl w:ilvl="0" w:tplc="1BD4148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AA2420"/>
    <w:multiLevelType w:val="hybridMultilevel"/>
    <w:tmpl w:val="A9BC0556"/>
    <w:lvl w:ilvl="0" w:tplc="EB7EC53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883031"/>
    <w:multiLevelType w:val="hybridMultilevel"/>
    <w:tmpl w:val="1DD0FE6A"/>
    <w:lvl w:ilvl="0" w:tplc="732AA582">
      <w:numFmt w:val="bullet"/>
      <w:lvlText w:val=""/>
      <w:lvlJc w:val="left"/>
      <w:pPr>
        <w:ind w:left="1065" w:hanging="705"/>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BDE6EA9"/>
    <w:multiLevelType w:val="hybridMultilevel"/>
    <w:tmpl w:val="0B66858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6C485D65"/>
    <w:multiLevelType w:val="hybridMultilevel"/>
    <w:tmpl w:val="79484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3C7E4F"/>
    <w:multiLevelType w:val="hybridMultilevel"/>
    <w:tmpl w:val="C2721DC8"/>
    <w:lvl w:ilvl="0" w:tplc="3998D0B2">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F36C44"/>
    <w:multiLevelType w:val="hybridMultilevel"/>
    <w:tmpl w:val="6F267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CF5854"/>
    <w:multiLevelType w:val="hybridMultilevel"/>
    <w:tmpl w:val="B0A6471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7DA56668"/>
    <w:multiLevelType w:val="hybridMultilevel"/>
    <w:tmpl w:val="9C1A333E"/>
    <w:lvl w:ilvl="0" w:tplc="0F5EE32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34"/>
  </w:num>
  <w:num w:numId="3">
    <w:abstractNumId w:val="2"/>
  </w:num>
  <w:num w:numId="4">
    <w:abstractNumId w:val="7"/>
  </w:num>
  <w:num w:numId="5">
    <w:abstractNumId w:val="28"/>
  </w:num>
  <w:num w:numId="6">
    <w:abstractNumId w:val="8"/>
  </w:num>
  <w:num w:numId="7">
    <w:abstractNumId w:val="17"/>
  </w:num>
  <w:num w:numId="8">
    <w:abstractNumId w:val="27"/>
  </w:num>
  <w:num w:numId="9">
    <w:abstractNumId w:val="22"/>
  </w:num>
  <w:num w:numId="10">
    <w:abstractNumId w:val="23"/>
  </w:num>
  <w:num w:numId="11">
    <w:abstractNumId w:val="19"/>
  </w:num>
  <w:num w:numId="12">
    <w:abstractNumId w:val="12"/>
  </w:num>
  <w:num w:numId="13">
    <w:abstractNumId w:val="32"/>
  </w:num>
  <w:num w:numId="14">
    <w:abstractNumId w:val="15"/>
  </w:num>
  <w:num w:numId="15">
    <w:abstractNumId w:val="18"/>
  </w:num>
  <w:num w:numId="16">
    <w:abstractNumId w:val="20"/>
  </w:num>
  <w:num w:numId="17">
    <w:abstractNumId w:val="25"/>
  </w:num>
  <w:num w:numId="18">
    <w:abstractNumId w:val="29"/>
  </w:num>
  <w:num w:numId="19">
    <w:abstractNumId w:val="30"/>
  </w:num>
  <w:num w:numId="20">
    <w:abstractNumId w:val="13"/>
  </w:num>
  <w:num w:numId="21">
    <w:abstractNumId w:val="14"/>
  </w:num>
  <w:num w:numId="22">
    <w:abstractNumId w:val="21"/>
  </w:num>
  <w:num w:numId="23">
    <w:abstractNumId w:val="4"/>
  </w:num>
  <w:num w:numId="24">
    <w:abstractNumId w:val="0"/>
  </w:num>
  <w:num w:numId="25">
    <w:abstractNumId w:val="3"/>
  </w:num>
  <w:num w:numId="26">
    <w:abstractNumId w:val="6"/>
  </w:num>
  <w:num w:numId="27">
    <w:abstractNumId w:val="26"/>
  </w:num>
  <w:num w:numId="28">
    <w:abstractNumId w:val="16"/>
  </w:num>
  <w:num w:numId="29">
    <w:abstractNumId w:val="1"/>
  </w:num>
  <w:num w:numId="30">
    <w:abstractNumId w:val="5"/>
  </w:num>
  <w:num w:numId="31">
    <w:abstractNumId w:val="10"/>
  </w:num>
  <w:num w:numId="32">
    <w:abstractNumId w:val="9"/>
  </w:num>
  <w:num w:numId="33">
    <w:abstractNumId w:val="31"/>
  </w:num>
  <w:num w:numId="34">
    <w:abstractNumId w:val="31"/>
  </w:num>
  <w:num w:numId="35">
    <w:abstractNumId w:val="24"/>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FBA"/>
    <w:rsid w:val="00010A83"/>
    <w:rsid w:val="00010EE3"/>
    <w:rsid w:val="000132CF"/>
    <w:rsid w:val="00025DEB"/>
    <w:rsid w:val="00033B6C"/>
    <w:rsid w:val="00033C1C"/>
    <w:rsid w:val="00045636"/>
    <w:rsid w:val="00046505"/>
    <w:rsid w:val="00046EA3"/>
    <w:rsid w:val="00071B8A"/>
    <w:rsid w:val="00073CC0"/>
    <w:rsid w:val="00080AFF"/>
    <w:rsid w:val="00081765"/>
    <w:rsid w:val="00095B7E"/>
    <w:rsid w:val="0009697B"/>
    <w:rsid w:val="000A5686"/>
    <w:rsid w:val="000A7299"/>
    <w:rsid w:val="000C3466"/>
    <w:rsid w:val="000C3F6B"/>
    <w:rsid w:val="000C7166"/>
    <w:rsid w:val="000C7B0F"/>
    <w:rsid w:val="000E075D"/>
    <w:rsid w:val="000F67D7"/>
    <w:rsid w:val="00106132"/>
    <w:rsid w:val="0011528F"/>
    <w:rsid w:val="0012075D"/>
    <w:rsid w:val="0012661D"/>
    <w:rsid w:val="00131ABB"/>
    <w:rsid w:val="001336E0"/>
    <w:rsid w:val="00134389"/>
    <w:rsid w:val="00136BBF"/>
    <w:rsid w:val="00142CE1"/>
    <w:rsid w:val="00152ABD"/>
    <w:rsid w:val="001602F1"/>
    <w:rsid w:val="00160600"/>
    <w:rsid w:val="00160D90"/>
    <w:rsid w:val="00165243"/>
    <w:rsid w:val="0017726F"/>
    <w:rsid w:val="001802A1"/>
    <w:rsid w:val="0018296C"/>
    <w:rsid w:val="00192369"/>
    <w:rsid w:val="001948BA"/>
    <w:rsid w:val="001A0454"/>
    <w:rsid w:val="001A0B16"/>
    <w:rsid w:val="001A4A68"/>
    <w:rsid w:val="001B344A"/>
    <w:rsid w:val="001B6ADD"/>
    <w:rsid w:val="001B76B1"/>
    <w:rsid w:val="001C010A"/>
    <w:rsid w:val="001C10DD"/>
    <w:rsid w:val="001C176E"/>
    <w:rsid w:val="001C2EAE"/>
    <w:rsid w:val="001C3CDD"/>
    <w:rsid w:val="001C3DF5"/>
    <w:rsid w:val="001D590F"/>
    <w:rsid w:val="001D7539"/>
    <w:rsid w:val="001F2C92"/>
    <w:rsid w:val="001F35A3"/>
    <w:rsid w:val="002016FC"/>
    <w:rsid w:val="00207BF1"/>
    <w:rsid w:val="00213851"/>
    <w:rsid w:val="0021700A"/>
    <w:rsid w:val="00220C51"/>
    <w:rsid w:val="00221DA6"/>
    <w:rsid w:val="0022253E"/>
    <w:rsid w:val="002301A6"/>
    <w:rsid w:val="00233579"/>
    <w:rsid w:val="002337EB"/>
    <w:rsid w:val="002343C2"/>
    <w:rsid w:val="00237E78"/>
    <w:rsid w:val="00237E9E"/>
    <w:rsid w:val="00241198"/>
    <w:rsid w:val="00242089"/>
    <w:rsid w:val="002435DD"/>
    <w:rsid w:val="00243BF9"/>
    <w:rsid w:val="0024620F"/>
    <w:rsid w:val="00250DF9"/>
    <w:rsid w:val="002600AF"/>
    <w:rsid w:val="002627CF"/>
    <w:rsid w:val="00262A45"/>
    <w:rsid w:val="00262E60"/>
    <w:rsid w:val="00270E9F"/>
    <w:rsid w:val="002713A6"/>
    <w:rsid w:val="0027255F"/>
    <w:rsid w:val="00273C22"/>
    <w:rsid w:val="00274EF0"/>
    <w:rsid w:val="002848D0"/>
    <w:rsid w:val="002872AF"/>
    <w:rsid w:val="002B0AF0"/>
    <w:rsid w:val="002B11D1"/>
    <w:rsid w:val="002B2845"/>
    <w:rsid w:val="002C57DE"/>
    <w:rsid w:val="002D2FA0"/>
    <w:rsid w:val="002D4704"/>
    <w:rsid w:val="002E2590"/>
    <w:rsid w:val="002E4748"/>
    <w:rsid w:val="002E64B6"/>
    <w:rsid w:val="002E6AFD"/>
    <w:rsid w:val="002E7C8E"/>
    <w:rsid w:val="002F4145"/>
    <w:rsid w:val="002F6309"/>
    <w:rsid w:val="0032297A"/>
    <w:rsid w:val="00322BB5"/>
    <w:rsid w:val="003244F8"/>
    <w:rsid w:val="00327F04"/>
    <w:rsid w:val="003303C5"/>
    <w:rsid w:val="00334B79"/>
    <w:rsid w:val="00340A39"/>
    <w:rsid w:val="0034492C"/>
    <w:rsid w:val="00351BD9"/>
    <w:rsid w:val="003571A5"/>
    <w:rsid w:val="00360528"/>
    <w:rsid w:val="003614A1"/>
    <w:rsid w:val="0036274C"/>
    <w:rsid w:val="00366A7D"/>
    <w:rsid w:val="00381D24"/>
    <w:rsid w:val="0038583B"/>
    <w:rsid w:val="00387884"/>
    <w:rsid w:val="00392A13"/>
    <w:rsid w:val="003A4C30"/>
    <w:rsid w:val="003A4DE4"/>
    <w:rsid w:val="003B18D6"/>
    <w:rsid w:val="003B3FBA"/>
    <w:rsid w:val="003B61D2"/>
    <w:rsid w:val="003B672F"/>
    <w:rsid w:val="003B746F"/>
    <w:rsid w:val="003C49B4"/>
    <w:rsid w:val="003C5822"/>
    <w:rsid w:val="003D399B"/>
    <w:rsid w:val="003D3BBB"/>
    <w:rsid w:val="003E5E72"/>
    <w:rsid w:val="003F3E56"/>
    <w:rsid w:val="003F5D28"/>
    <w:rsid w:val="004008BC"/>
    <w:rsid w:val="004008C4"/>
    <w:rsid w:val="00410B55"/>
    <w:rsid w:val="004200A2"/>
    <w:rsid w:val="004225AF"/>
    <w:rsid w:val="00427BE3"/>
    <w:rsid w:val="004318E9"/>
    <w:rsid w:val="004325F3"/>
    <w:rsid w:val="0044530B"/>
    <w:rsid w:val="0044714E"/>
    <w:rsid w:val="004479C9"/>
    <w:rsid w:val="0045308F"/>
    <w:rsid w:val="004611F2"/>
    <w:rsid w:val="00467719"/>
    <w:rsid w:val="00471A5D"/>
    <w:rsid w:val="00476906"/>
    <w:rsid w:val="0047781C"/>
    <w:rsid w:val="004835F1"/>
    <w:rsid w:val="0048681E"/>
    <w:rsid w:val="004915A2"/>
    <w:rsid w:val="004A7D19"/>
    <w:rsid w:val="004B5394"/>
    <w:rsid w:val="004C3444"/>
    <w:rsid w:val="004D5447"/>
    <w:rsid w:val="004D681A"/>
    <w:rsid w:val="004D7ECF"/>
    <w:rsid w:val="004E7129"/>
    <w:rsid w:val="005137AE"/>
    <w:rsid w:val="00514496"/>
    <w:rsid w:val="005146DC"/>
    <w:rsid w:val="00521D6F"/>
    <w:rsid w:val="00526243"/>
    <w:rsid w:val="00527480"/>
    <w:rsid w:val="005318FC"/>
    <w:rsid w:val="00533561"/>
    <w:rsid w:val="00535CA2"/>
    <w:rsid w:val="0053763A"/>
    <w:rsid w:val="00541BBD"/>
    <w:rsid w:val="00550C9F"/>
    <w:rsid w:val="005543F2"/>
    <w:rsid w:val="00557CCF"/>
    <w:rsid w:val="00571676"/>
    <w:rsid w:val="00573E9F"/>
    <w:rsid w:val="00576821"/>
    <w:rsid w:val="0058078A"/>
    <w:rsid w:val="00595AC2"/>
    <w:rsid w:val="005A383C"/>
    <w:rsid w:val="005A7F35"/>
    <w:rsid w:val="005B072F"/>
    <w:rsid w:val="005B3C12"/>
    <w:rsid w:val="005C73CD"/>
    <w:rsid w:val="005D1D2F"/>
    <w:rsid w:val="005E00E0"/>
    <w:rsid w:val="005E2CF6"/>
    <w:rsid w:val="005E658C"/>
    <w:rsid w:val="005F1572"/>
    <w:rsid w:val="00612F74"/>
    <w:rsid w:val="00626A5D"/>
    <w:rsid w:val="00634B1F"/>
    <w:rsid w:val="00636340"/>
    <w:rsid w:val="006409D6"/>
    <w:rsid w:val="006418C2"/>
    <w:rsid w:val="00653E3F"/>
    <w:rsid w:val="0066384F"/>
    <w:rsid w:val="006667B9"/>
    <w:rsid w:val="00672658"/>
    <w:rsid w:val="00672E37"/>
    <w:rsid w:val="0067749D"/>
    <w:rsid w:val="0068038D"/>
    <w:rsid w:val="00680417"/>
    <w:rsid w:val="006812D9"/>
    <w:rsid w:val="0068546C"/>
    <w:rsid w:val="006854AD"/>
    <w:rsid w:val="0068647F"/>
    <w:rsid w:val="0069555C"/>
    <w:rsid w:val="0069567F"/>
    <w:rsid w:val="0069604D"/>
    <w:rsid w:val="006A1D1E"/>
    <w:rsid w:val="006B0B0C"/>
    <w:rsid w:val="006B4579"/>
    <w:rsid w:val="006C71A0"/>
    <w:rsid w:val="006F67E7"/>
    <w:rsid w:val="007008B3"/>
    <w:rsid w:val="00701128"/>
    <w:rsid w:val="007070EC"/>
    <w:rsid w:val="0070778A"/>
    <w:rsid w:val="00715E9C"/>
    <w:rsid w:val="007174BD"/>
    <w:rsid w:val="00721BCB"/>
    <w:rsid w:val="00731112"/>
    <w:rsid w:val="00737F2F"/>
    <w:rsid w:val="00743912"/>
    <w:rsid w:val="00750B4C"/>
    <w:rsid w:val="007538CA"/>
    <w:rsid w:val="007556B5"/>
    <w:rsid w:val="007652F4"/>
    <w:rsid w:val="007736BE"/>
    <w:rsid w:val="007857EC"/>
    <w:rsid w:val="0078581C"/>
    <w:rsid w:val="00786717"/>
    <w:rsid w:val="00794818"/>
    <w:rsid w:val="007961A0"/>
    <w:rsid w:val="007A3127"/>
    <w:rsid w:val="007B0C42"/>
    <w:rsid w:val="007B184D"/>
    <w:rsid w:val="007B215B"/>
    <w:rsid w:val="007D0152"/>
    <w:rsid w:val="007D1271"/>
    <w:rsid w:val="007D7781"/>
    <w:rsid w:val="007E118B"/>
    <w:rsid w:val="007E2B1B"/>
    <w:rsid w:val="007E4EC1"/>
    <w:rsid w:val="007F45AA"/>
    <w:rsid w:val="00802B93"/>
    <w:rsid w:val="00805EEE"/>
    <w:rsid w:val="00806A3A"/>
    <w:rsid w:val="00811B80"/>
    <w:rsid w:val="00813558"/>
    <w:rsid w:val="00821040"/>
    <w:rsid w:val="00832B97"/>
    <w:rsid w:val="008414E6"/>
    <w:rsid w:val="00843A09"/>
    <w:rsid w:val="008510B8"/>
    <w:rsid w:val="0088347C"/>
    <w:rsid w:val="008853F8"/>
    <w:rsid w:val="008939BE"/>
    <w:rsid w:val="008946F5"/>
    <w:rsid w:val="008A1468"/>
    <w:rsid w:val="008A17AC"/>
    <w:rsid w:val="008A609A"/>
    <w:rsid w:val="008B04C4"/>
    <w:rsid w:val="008B19E9"/>
    <w:rsid w:val="008B3382"/>
    <w:rsid w:val="008B70EA"/>
    <w:rsid w:val="008C7180"/>
    <w:rsid w:val="008D1524"/>
    <w:rsid w:val="008D15A2"/>
    <w:rsid w:val="008D5080"/>
    <w:rsid w:val="008D5984"/>
    <w:rsid w:val="008E3404"/>
    <w:rsid w:val="008F2180"/>
    <w:rsid w:val="008F6A29"/>
    <w:rsid w:val="00910FD6"/>
    <w:rsid w:val="00912B7D"/>
    <w:rsid w:val="00914E1B"/>
    <w:rsid w:val="00921F0B"/>
    <w:rsid w:val="00923000"/>
    <w:rsid w:val="00926437"/>
    <w:rsid w:val="009265B5"/>
    <w:rsid w:val="0093664D"/>
    <w:rsid w:val="009436C5"/>
    <w:rsid w:val="009440E9"/>
    <w:rsid w:val="0095119C"/>
    <w:rsid w:val="00954C84"/>
    <w:rsid w:val="0095628B"/>
    <w:rsid w:val="009615E6"/>
    <w:rsid w:val="00964107"/>
    <w:rsid w:val="00965091"/>
    <w:rsid w:val="00966207"/>
    <w:rsid w:val="009760DF"/>
    <w:rsid w:val="0097737B"/>
    <w:rsid w:val="00977795"/>
    <w:rsid w:val="00982431"/>
    <w:rsid w:val="00982A0F"/>
    <w:rsid w:val="00991CFC"/>
    <w:rsid w:val="00995448"/>
    <w:rsid w:val="00996C5E"/>
    <w:rsid w:val="009A0AB0"/>
    <w:rsid w:val="009A19E2"/>
    <w:rsid w:val="009A5698"/>
    <w:rsid w:val="009A796D"/>
    <w:rsid w:val="009B0D6D"/>
    <w:rsid w:val="009B1847"/>
    <w:rsid w:val="009B2CCA"/>
    <w:rsid w:val="009B7597"/>
    <w:rsid w:val="009B78BE"/>
    <w:rsid w:val="009B7B4C"/>
    <w:rsid w:val="009C30BF"/>
    <w:rsid w:val="009D37C9"/>
    <w:rsid w:val="009E17CA"/>
    <w:rsid w:val="009F5680"/>
    <w:rsid w:val="009F6DC6"/>
    <w:rsid w:val="00A01554"/>
    <w:rsid w:val="00A056D0"/>
    <w:rsid w:val="00A05C24"/>
    <w:rsid w:val="00A10C78"/>
    <w:rsid w:val="00A15B38"/>
    <w:rsid w:val="00A1748A"/>
    <w:rsid w:val="00A219D0"/>
    <w:rsid w:val="00A24F1B"/>
    <w:rsid w:val="00A320E3"/>
    <w:rsid w:val="00A43CEF"/>
    <w:rsid w:val="00A44078"/>
    <w:rsid w:val="00A51878"/>
    <w:rsid w:val="00A80539"/>
    <w:rsid w:val="00A85244"/>
    <w:rsid w:val="00A85E8D"/>
    <w:rsid w:val="00A90868"/>
    <w:rsid w:val="00A92325"/>
    <w:rsid w:val="00A95818"/>
    <w:rsid w:val="00A9702F"/>
    <w:rsid w:val="00AA3293"/>
    <w:rsid w:val="00AA455B"/>
    <w:rsid w:val="00AA7D4D"/>
    <w:rsid w:val="00AB19EC"/>
    <w:rsid w:val="00AB3CCB"/>
    <w:rsid w:val="00AB5EE6"/>
    <w:rsid w:val="00AB7948"/>
    <w:rsid w:val="00AB7B1A"/>
    <w:rsid w:val="00AC518A"/>
    <w:rsid w:val="00AD105C"/>
    <w:rsid w:val="00AD3E19"/>
    <w:rsid w:val="00AD51C0"/>
    <w:rsid w:val="00AE0E01"/>
    <w:rsid w:val="00AE111D"/>
    <w:rsid w:val="00AE44DA"/>
    <w:rsid w:val="00AE7C80"/>
    <w:rsid w:val="00B007C4"/>
    <w:rsid w:val="00B01111"/>
    <w:rsid w:val="00B011B5"/>
    <w:rsid w:val="00B01573"/>
    <w:rsid w:val="00B12AC8"/>
    <w:rsid w:val="00B14886"/>
    <w:rsid w:val="00B20B1B"/>
    <w:rsid w:val="00B21D18"/>
    <w:rsid w:val="00B313D4"/>
    <w:rsid w:val="00B32A92"/>
    <w:rsid w:val="00B330CC"/>
    <w:rsid w:val="00B33DAF"/>
    <w:rsid w:val="00B372A6"/>
    <w:rsid w:val="00B40CBB"/>
    <w:rsid w:val="00B40ECF"/>
    <w:rsid w:val="00B43739"/>
    <w:rsid w:val="00B44DE8"/>
    <w:rsid w:val="00B461E5"/>
    <w:rsid w:val="00B51AF2"/>
    <w:rsid w:val="00B5356C"/>
    <w:rsid w:val="00B54C0C"/>
    <w:rsid w:val="00B55ACF"/>
    <w:rsid w:val="00B55F46"/>
    <w:rsid w:val="00B65A0C"/>
    <w:rsid w:val="00B6607C"/>
    <w:rsid w:val="00B66243"/>
    <w:rsid w:val="00B82F0F"/>
    <w:rsid w:val="00B852E0"/>
    <w:rsid w:val="00B92A68"/>
    <w:rsid w:val="00BA127F"/>
    <w:rsid w:val="00BA2822"/>
    <w:rsid w:val="00BB0D50"/>
    <w:rsid w:val="00BC0475"/>
    <w:rsid w:val="00BC2F7B"/>
    <w:rsid w:val="00BC53CB"/>
    <w:rsid w:val="00BD2020"/>
    <w:rsid w:val="00BF0D91"/>
    <w:rsid w:val="00BF5C56"/>
    <w:rsid w:val="00C01347"/>
    <w:rsid w:val="00C034F4"/>
    <w:rsid w:val="00C107A9"/>
    <w:rsid w:val="00C172EE"/>
    <w:rsid w:val="00C27FA1"/>
    <w:rsid w:val="00C37DB0"/>
    <w:rsid w:val="00C523CE"/>
    <w:rsid w:val="00C5243E"/>
    <w:rsid w:val="00C52BA7"/>
    <w:rsid w:val="00C63200"/>
    <w:rsid w:val="00C70536"/>
    <w:rsid w:val="00C70A5B"/>
    <w:rsid w:val="00C72E6F"/>
    <w:rsid w:val="00C7473A"/>
    <w:rsid w:val="00CA41A6"/>
    <w:rsid w:val="00CA5CD1"/>
    <w:rsid w:val="00CB0D94"/>
    <w:rsid w:val="00CC34BC"/>
    <w:rsid w:val="00CD1061"/>
    <w:rsid w:val="00CD2AA4"/>
    <w:rsid w:val="00CD3650"/>
    <w:rsid w:val="00CE52FF"/>
    <w:rsid w:val="00CE5795"/>
    <w:rsid w:val="00CE6AF7"/>
    <w:rsid w:val="00CE75DE"/>
    <w:rsid w:val="00CF784D"/>
    <w:rsid w:val="00D066E5"/>
    <w:rsid w:val="00D06ECF"/>
    <w:rsid w:val="00D0752D"/>
    <w:rsid w:val="00D147ED"/>
    <w:rsid w:val="00D22B60"/>
    <w:rsid w:val="00D36E3E"/>
    <w:rsid w:val="00D37048"/>
    <w:rsid w:val="00D371EE"/>
    <w:rsid w:val="00D458A4"/>
    <w:rsid w:val="00D5126D"/>
    <w:rsid w:val="00D56F5F"/>
    <w:rsid w:val="00D65067"/>
    <w:rsid w:val="00D65E7F"/>
    <w:rsid w:val="00D6644B"/>
    <w:rsid w:val="00D7103E"/>
    <w:rsid w:val="00D8393A"/>
    <w:rsid w:val="00D93B43"/>
    <w:rsid w:val="00DA2751"/>
    <w:rsid w:val="00DA54F4"/>
    <w:rsid w:val="00DA7CF8"/>
    <w:rsid w:val="00DB336A"/>
    <w:rsid w:val="00DB4AB8"/>
    <w:rsid w:val="00DB4CD2"/>
    <w:rsid w:val="00DB6AD8"/>
    <w:rsid w:val="00DC05F3"/>
    <w:rsid w:val="00DC1828"/>
    <w:rsid w:val="00DC4796"/>
    <w:rsid w:val="00DC7456"/>
    <w:rsid w:val="00DD0370"/>
    <w:rsid w:val="00DD0A6D"/>
    <w:rsid w:val="00DD2AA9"/>
    <w:rsid w:val="00DE18C2"/>
    <w:rsid w:val="00DE3149"/>
    <w:rsid w:val="00DE34AD"/>
    <w:rsid w:val="00DE5193"/>
    <w:rsid w:val="00DE543F"/>
    <w:rsid w:val="00DF0387"/>
    <w:rsid w:val="00DF1D28"/>
    <w:rsid w:val="00DF691B"/>
    <w:rsid w:val="00DF7C01"/>
    <w:rsid w:val="00E01720"/>
    <w:rsid w:val="00E04AAD"/>
    <w:rsid w:val="00E1094E"/>
    <w:rsid w:val="00E121E7"/>
    <w:rsid w:val="00E172FC"/>
    <w:rsid w:val="00E2073A"/>
    <w:rsid w:val="00E20829"/>
    <w:rsid w:val="00E259C7"/>
    <w:rsid w:val="00E268FF"/>
    <w:rsid w:val="00E307E9"/>
    <w:rsid w:val="00E30AE4"/>
    <w:rsid w:val="00E3738B"/>
    <w:rsid w:val="00E43362"/>
    <w:rsid w:val="00E474AC"/>
    <w:rsid w:val="00E50E4F"/>
    <w:rsid w:val="00E607B9"/>
    <w:rsid w:val="00E6243D"/>
    <w:rsid w:val="00E66708"/>
    <w:rsid w:val="00E67403"/>
    <w:rsid w:val="00E747C0"/>
    <w:rsid w:val="00E925B2"/>
    <w:rsid w:val="00E960FA"/>
    <w:rsid w:val="00E96336"/>
    <w:rsid w:val="00EA05AC"/>
    <w:rsid w:val="00EA37EB"/>
    <w:rsid w:val="00EC04B0"/>
    <w:rsid w:val="00EC083E"/>
    <w:rsid w:val="00EC3DFF"/>
    <w:rsid w:val="00EC40DD"/>
    <w:rsid w:val="00EC4E61"/>
    <w:rsid w:val="00ED27E0"/>
    <w:rsid w:val="00ED472B"/>
    <w:rsid w:val="00EE0655"/>
    <w:rsid w:val="00EE447D"/>
    <w:rsid w:val="00EF13E9"/>
    <w:rsid w:val="00EF2058"/>
    <w:rsid w:val="00F02BF1"/>
    <w:rsid w:val="00F070A0"/>
    <w:rsid w:val="00F26B79"/>
    <w:rsid w:val="00F272C0"/>
    <w:rsid w:val="00F273DF"/>
    <w:rsid w:val="00F279AF"/>
    <w:rsid w:val="00F311A1"/>
    <w:rsid w:val="00F3332A"/>
    <w:rsid w:val="00F43670"/>
    <w:rsid w:val="00F456B1"/>
    <w:rsid w:val="00F45E77"/>
    <w:rsid w:val="00F515F6"/>
    <w:rsid w:val="00F567BC"/>
    <w:rsid w:val="00F56F21"/>
    <w:rsid w:val="00F777DF"/>
    <w:rsid w:val="00F8138C"/>
    <w:rsid w:val="00F817D4"/>
    <w:rsid w:val="00F858EB"/>
    <w:rsid w:val="00F90228"/>
    <w:rsid w:val="00F911DD"/>
    <w:rsid w:val="00F96566"/>
    <w:rsid w:val="00F9730C"/>
    <w:rsid w:val="00FA3969"/>
    <w:rsid w:val="00FB23F9"/>
    <w:rsid w:val="00FB6C59"/>
    <w:rsid w:val="00FC4EE6"/>
    <w:rsid w:val="00FE4303"/>
    <w:rsid w:val="00FE4A94"/>
    <w:rsid w:val="00FE6D1F"/>
    <w:rsid w:val="00FF4833"/>
    <w:rsid w:val="00FF70E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D8C04A"/>
  <w15:chartTrackingRefBased/>
  <w15:docId w15:val="{8AF7050C-7581-4EA0-AD91-9050C3190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B3FBA"/>
    <w:pPr>
      <w:ind w:left="720"/>
      <w:contextualSpacing/>
    </w:pPr>
  </w:style>
  <w:style w:type="paragraph" w:styleId="En-tte">
    <w:name w:val="header"/>
    <w:basedOn w:val="Normal"/>
    <w:link w:val="En-tteCar"/>
    <w:uiPriority w:val="99"/>
    <w:unhideWhenUsed/>
    <w:rsid w:val="001C176E"/>
    <w:pPr>
      <w:tabs>
        <w:tab w:val="center" w:pos="4536"/>
        <w:tab w:val="right" w:pos="9072"/>
      </w:tabs>
      <w:spacing w:after="0" w:line="240" w:lineRule="auto"/>
    </w:pPr>
  </w:style>
  <w:style w:type="character" w:customStyle="1" w:styleId="En-tteCar">
    <w:name w:val="En-tête Car"/>
    <w:basedOn w:val="Policepardfaut"/>
    <w:link w:val="En-tte"/>
    <w:uiPriority w:val="99"/>
    <w:rsid w:val="001C176E"/>
  </w:style>
  <w:style w:type="paragraph" w:styleId="Pieddepage">
    <w:name w:val="footer"/>
    <w:basedOn w:val="Normal"/>
    <w:link w:val="PieddepageCar"/>
    <w:uiPriority w:val="99"/>
    <w:unhideWhenUsed/>
    <w:rsid w:val="001C17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176E"/>
  </w:style>
  <w:style w:type="character" w:styleId="Marquedecommentaire">
    <w:name w:val="annotation reference"/>
    <w:basedOn w:val="Policepardfaut"/>
    <w:uiPriority w:val="99"/>
    <w:semiHidden/>
    <w:unhideWhenUsed/>
    <w:rsid w:val="007B0C42"/>
    <w:rPr>
      <w:sz w:val="16"/>
      <w:szCs w:val="16"/>
    </w:rPr>
  </w:style>
  <w:style w:type="paragraph" w:styleId="Commentaire">
    <w:name w:val="annotation text"/>
    <w:basedOn w:val="Normal"/>
    <w:link w:val="CommentaireCar"/>
    <w:uiPriority w:val="99"/>
    <w:unhideWhenUsed/>
    <w:rsid w:val="007B0C42"/>
    <w:pPr>
      <w:spacing w:line="240" w:lineRule="auto"/>
    </w:pPr>
    <w:rPr>
      <w:sz w:val="20"/>
      <w:szCs w:val="20"/>
    </w:rPr>
  </w:style>
  <w:style w:type="character" w:customStyle="1" w:styleId="CommentaireCar">
    <w:name w:val="Commentaire Car"/>
    <w:basedOn w:val="Policepardfaut"/>
    <w:link w:val="Commentaire"/>
    <w:uiPriority w:val="99"/>
    <w:rsid w:val="007B0C42"/>
    <w:rPr>
      <w:sz w:val="20"/>
      <w:szCs w:val="20"/>
    </w:rPr>
  </w:style>
  <w:style w:type="paragraph" w:styleId="Objetducommentaire">
    <w:name w:val="annotation subject"/>
    <w:basedOn w:val="Commentaire"/>
    <w:next w:val="Commentaire"/>
    <w:link w:val="ObjetducommentaireCar"/>
    <w:uiPriority w:val="99"/>
    <w:semiHidden/>
    <w:unhideWhenUsed/>
    <w:rsid w:val="007B0C42"/>
    <w:rPr>
      <w:b/>
      <w:bCs/>
    </w:rPr>
  </w:style>
  <w:style w:type="character" w:customStyle="1" w:styleId="ObjetducommentaireCar">
    <w:name w:val="Objet du commentaire Car"/>
    <w:basedOn w:val="CommentaireCar"/>
    <w:link w:val="Objetducommentaire"/>
    <w:uiPriority w:val="99"/>
    <w:semiHidden/>
    <w:rsid w:val="007B0C42"/>
    <w:rPr>
      <w:b/>
      <w:bCs/>
      <w:sz w:val="20"/>
      <w:szCs w:val="20"/>
    </w:rPr>
  </w:style>
  <w:style w:type="paragraph" w:styleId="Textedebulles">
    <w:name w:val="Balloon Text"/>
    <w:basedOn w:val="Normal"/>
    <w:link w:val="TextedebullesCar"/>
    <w:uiPriority w:val="99"/>
    <w:semiHidden/>
    <w:unhideWhenUsed/>
    <w:rsid w:val="007B0C4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0C42"/>
    <w:rPr>
      <w:rFonts w:ascii="Segoe UI" w:hAnsi="Segoe UI" w:cs="Segoe UI"/>
      <w:sz w:val="18"/>
      <w:szCs w:val="18"/>
    </w:rPr>
  </w:style>
  <w:style w:type="paragraph" w:customStyle="1" w:styleId="Inter-titreencadr">
    <w:name w:val="Inter-titre encadré"/>
    <w:basedOn w:val="Normal"/>
    <w:link w:val="Inter-titreencadrCar"/>
    <w:qFormat/>
    <w:rsid w:val="003B672F"/>
    <w:pPr>
      <w:autoSpaceDE w:val="0"/>
      <w:autoSpaceDN w:val="0"/>
      <w:adjustRightInd w:val="0"/>
      <w:spacing w:before="120" w:after="120" w:line="240" w:lineRule="auto"/>
      <w:jc w:val="both"/>
    </w:pPr>
    <w:rPr>
      <w:rFonts w:ascii="Franklin Gothic Book" w:eastAsia="Franklin Gothic Book" w:hAnsi="Franklin Gothic Book" w:cs="FranklinGothic-Medium"/>
      <w:color w:val="008499"/>
      <w:sz w:val="20"/>
      <w:szCs w:val="20"/>
    </w:rPr>
  </w:style>
  <w:style w:type="character" w:customStyle="1" w:styleId="Inter-titreencadrCar">
    <w:name w:val="Inter-titre encadré Car"/>
    <w:basedOn w:val="Policepardfaut"/>
    <w:link w:val="Inter-titreencadr"/>
    <w:rsid w:val="003B672F"/>
    <w:rPr>
      <w:rFonts w:ascii="Franklin Gothic Book" w:eastAsia="Franklin Gothic Book" w:hAnsi="Franklin Gothic Book" w:cs="FranklinGothic-Medium"/>
      <w:color w:val="008499"/>
      <w:sz w:val="20"/>
      <w:szCs w:val="20"/>
    </w:rPr>
  </w:style>
  <w:style w:type="paragraph" w:customStyle="1" w:styleId="Default">
    <w:name w:val="Default"/>
    <w:rsid w:val="003B672F"/>
    <w:pPr>
      <w:autoSpaceDE w:val="0"/>
      <w:autoSpaceDN w:val="0"/>
      <w:adjustRightInd w:val="0"/>
      <w:spacing w:after="0" w:line="240" w:lineRule="auto"/>
    </w:pPr>
    <w:rPr>
      <w:rFonts w:ascii="Franklin Gothic Book" w:hAnsi="Franklin Gothic Book" w:cs="Franklin Gothic Book"/>
      <w:color w:val="000000"/>
      <w:sz w:val="24"/>
      <w:szCs w:val="24"/>
    </w:rPr>
  </w:style>
  <w:style w:type="paragraph" w:styleId="Notedebasdepage">
    <w:name w:val="footnote text"/>
    <w:aliases w:val="ALTS FOOTNOTE"/>
    <w:basedOn w:val="Normal"/>
    <w:link w:val="NotedebasdepageCar"/>
    <w:uiPriority w:val="99"/>
    <w:rsid w:val="003B672F"/>
    <w:pPr>
      <w:spacing w:after="0" w:line="240" w:lineRule="auto"/>
    </w:pPr>
    <w:rPr>
      <w:rFonts w:ascii="Times New (W1)" w:eastAsia="Times New Roman" w:hAnsi="Times New (W1)" w:cs="Times New Roman"/>
      <w:sz w:val="18"/>
      <w:szCs w:val="20"/>
      <w:lang w:eastAsia="fr-FR"/>
    </w:rPr>
  </w:style>
  <w:style w:type="character" w:customStyle="1" w:styleId="NotedebasdepageCar">
    <w:name w:val="Note de bas de page Car"/>
    <w:aliases w:val="ALTS FOOTNOTE Car"/>
    <w:basedOn w:val="Policepardfaut"/>
    <w:link w:val="Notedebasdepage"/>
    <w:uiPriority w:val="99"/>
    <w:rsid w:val="003B672F"/>
    <w:rPr>
      <w:rFonts w:ascii="Times New (W1)" w:eastAsia="Times New Roman" w:hAnsi="Times New (W1)" w:cs="Times New Roman"/>
      <w:sz w:val="18"/>
      <w:szCs w:val="20"/>
      <w:lang w:eastAsia="fr-FR"/>
    </w:rPr>
  </w:style>
  <w:style w:type="character" w:styleId="Appelnotedebasdep">
    <w:name w:val="footnote reference"/>
    <w:basedOn w:val="Policepardfaut"/>
    <w:uiPriority w:val="99"/>
    <w:rsid w:val="003B672F"/>
    <w:rPr>
      <w:vertAlign w:val="superscript"/>
    </w:rPr>
  </w:style>
  <w:style w:type="table" w:styleId="Grilledutableau">
    <w:name w:val="Table Grid"/>
    <w:basedOn w:val="TableauNormal"/>
    <w:uiPriority w:val="39"/>
    <w:rsid w:val="003B67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B672F"/>
    <w:rPr>
      <w:color w:val="0563C1" w:themeColor="hyperlink"/>
      <w:u w:val="single"/>
    </w:rPr>
  </w:style>
  <w:style w:type="character" w:customStyle="1" w:styleId="st">
    <w:name w:val="st"/>
    <w:basedOn w:val="Policepardfaut"/>
    <w:rsid w:val="00DE5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927302">
      <w:bodyDiv w:val="1"/>
      <w:marLeft w:val="0"/>
      <w:marRight w:val="0"/>
      <w:marTop w:val="0"/>
      <w:marBottom w:val="0"/>
      <w:divBdr>
        <w:top w:val="none" w:sz="0" w:space="0" w:color="auto"/>
        <w:left w:val="none" w:sz="0" w:space="0" w:color="auto"/>
        <w:bottom w:val="none" w:sz="0" w:space="0" w:color="auto"/>
        <w:right w:val="none" w:sz="0" w:space="0" w:color="auto"/>
      </w:divBdr>
    </w:div>
    <w:div w:id="789082362">
      <w:bodyDiv w:val="1"/>
      <w:marLeft w:val="0"/>
      <w:marRight w:val="0"/>
      <w:marTop w:val="0"/>
      <w:marBottom w:val="0"/>
      <w:divBdr>
        <w:top w:val="none" w:sz="0" w:space="0" w:color="auto"/>
        <w:left w:val="none" w:sz="0" w:space="0" w:color="auto"/>
        <w:bottom w:val="none" w:sz="0" w:space="0" w:color="auto"/>
        <w:right w:val="none" w:sz="0" w:space="0" w:color="auto"/>
      </w:divBdr>
    </w:div>
    <w:div w:id="835076500">
      <w:bodyDiv w:val="1"/>
      <w:marLeft w:val="0"/>
      <w:marRight w:val="0"/>
      <w:marTop w:val="0"/>
      <w:marBottom w:val="0"/>
      <w:divBdr>
        <w:top w:val="none" w:sz="0" w:space="0" w:color="auto"/>
        <w:left w:val="none" w:sz="0" w:space="0" w:color="auto"/>
        <w:bottom w:val="none" w:sz="0" w:space="0" w:color="auto"/>
        <w:right w:val="none" w:sz="0" w:space="0" w:color="auto"/>
      </w:divBdr>
      <w:divsChild>
        <w:div w:id="1187210962">
          <w:marLeft w:val="0"/>
          <w:marRight w:val="0"/>
          <w:marTop w:val="0"/>
          <w:marBottom w:val="0"/>
          <w:divBdr>
            <w:top w:val="none" w:sz="0" w:space="0" w:color="auto"/>
            <w:left w:val="none" w:sz="0" w:space="0" w:color="auto"/>
            <w:bottom w:val="none" w:sz="0" w:space="0" w:color="auto"/>
            <w:right w:val="none" w:sz="0" w:space="0" w:color="auto"/>
          </w:divBdr>
          <w:divsChild>
            <w:div w:id="137515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060303">
      <w:bodyDiv w:val="1"/>
      <w:marLeft w:val="0"/>
      <w:marRight w:val="0"/>
      <w:marTop w:val="0"/>
      <w:marBottom w:val="0"/>
      <w:divBdr>
        <w:top w:val="none" w:sz="0" w:space="0" w:color="auto"/>
        <w:left w:val="none" w:sz="0" w:space="0" w:color="auto"/>
        <w:bottom w:val="none" w:sz="0" w:space="0" w:color="auto"/>
        <w:right w:val="none" w:sz="0" w:space="0" w:color="auto"/>
      </w:divBdr>
    </w:div>
    <w:div w:id="1477606713">
      <w:bodyDiv w:val="1"/>
      <w:marLeft w:val="0"/>
      <w:marRight w:val="0"/>
      <w:marTop w:val="0"/>
      <w:marBottom w:val="0"/>
      <w:divBdr>
        <w:top w:val="none" w:sz="0" w:space="0" w:color="auto"/>
        <w:left w:val="none" w:sz="0" w:space="0" w:color="auto"/>
        <w:bottom w:val="none" w:sz="0" w:space="0" w:color="auto"/>
        <w:right w:val="none" w:sz="0" w:space="0" w:color="auto"/>
      </w:divBdr>
    </w:div>
    <w:div w:id="1509054648">
      <w:bodyDiv w:val="1"/>
      <w:marLeft w:val="0"/>
      <w:marRight w:val="0"/>
      <w:marTop w:val="0"/>
      <w:marBottom w:val="0"/>
      <w:divBdr>
        <w:top w:val="none" w:sz="0" w:space="0" w:color="auto"/>
        <w:left w:val="none" w:sz="0" w:space="0" w:color="auto"/>
        <w:bottom w:val="none" w:sz="0" w:space="0" w:color="auto"/>
        <w:right w:val="none" w:sz="0" w:space="0" w:color="auto"/>
      </w:divBdr>
    </w:div>
    <w:div w:id="204204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15371-689E-46C4-A804-91F280A53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993</Words>
  <Characters>5462</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RTE</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NEUPONT Bruno</dc:creator>
  <cp:keywords/>
  <dc:description/>
  <cp:lastModifiedBy>Demortier Maël</cp:lastModifiedBy>
  <cp:revision>3</cp:revision>
  <cp:lastPrinted>2019-03-29T16:08:00Z</cp:lastPrinted>
  <dcterms:created xsi:type="dcterms:W3CDTF">2020-06-12T14:29:00Z</dcterms:created>
  <dcterms:modified xsi:type="dcterms:W3CDTF">2020-07-03T14:08:00Z</dcterms:modified>
</cp:coreProperties>
</file>