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4A07E" w14:textId="7680EB15" w:rsidR="00CC4FDD" w:rsidRDefault="00CC4FDD" w:rsidP="00CC4FDD">
      <w:pPr>
        <w:jc w:val="center"/>
        <w:rPr>
          <w:rFonts w:ascii="Frutiger Roman" w:hAnsi="Frutiger Roman"/>
          <w:color w:val="0000FF"/>
          <w:sz w:val="20"/>
          <w:szCs w:val="20"/>
        </w:rPr>
      </w:pPr>
      <w:r w:rsidRPr="00CC4FDD">
        <w:rPr>
          <w:rFonts w:ascii="Frutiger Roman" w:hAnsi="Frutiger Roman"/>
          <w:b/>
          <w:bCs/>
          <w:noProof/>
          <w:sz w:val="20"/>
          <w:szCs w:val="20"/>
        </w:rPr>
        <w:drawing>
          <wp:anchor distT="0" distB="0" distL="114300" distR="114300" simplePos="0" relativeHeight="251658240" behindDoc="0" locked="0" layoutInCell="1" allowOverlap="1" wp14:anchorId="4AC779D1" wp14:editId="6DAC0698">
            <wp:simplePos x="0" y="0"/>
            <wp:positionH relativeFrom="margin">
              <wp:align>right</wp:align>
            </wp:positionH>
            <wp:positionV relativeFrom="paragraph">
              <wp:posOffset>-384292</wp:posOffset>
            </wp:positionV>
            <wp:extent cx="1774755" cy="527100"/>
            <wp:effectExtent l="0" t="0" r="0" b="635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74755" cy="527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9DF89FD" w14:textId="77777777" w:rsidR="00A750C6" w:rsidRDefault="00A750C6" w:rsidP="00CC4FDD">
      <w:pPr>
        <w:rPr>
          <w:rFonts w:ascii="Arial" w:hAnsi="Arial" w:cs="Arial"/>
          <w:b/>
          <w:bCs/>
          <w:color w:val="2F5496" w:themeColor="accent1" w:themeShade="BF"/>
          <w:sz w:val="20"/>
          <w:szCs w:val="20"/>
        </w:rPr>
      </w:pPr>
      <w:r w:rsidRPr="00A750C6">
        <w:rPr>
          <w:rFonts w:ascii="Arial" w:hAnsi="Arial" w:cs="Arial"/>
          <w:b/>
          <w:bCs/>
          <w:color w:val="2F5496" w:themeColor="accent1" w:themeShade="BF"/>
          <w:sz w:val="20"/>
          <w:szCs w:val="20"/>
        </w:rPr>
        <w:t xml:space="preserve">Consultation publique du 3 avril 2024 </w:t>
      </w:r>
      <w:r>
        <w:rPr>
          <w:rFonts w:ascii="Arial" w:hAnsi="Arial" w:cs="Arial"/>
          <w:b/>
          <w:bCs/>
          <w:color w:val="2F5496" w:themeColor="accent1" w:themeShade="BF"/>
          <w:sz w:val="20"/>
          <w:szCs w:val="20"/>
        </w:rPr>
        <w:t xml:space="preserve">de la CRE </w:t>
      </w:r>
      <w:r w:rsidRPr="00A750C6">
        <w:rPr>
          <w:rFonts w:ascii="Arial" w:hAnsi="Arial" w:cs="Arial"/>
          <w:b/>
          <w:bCs/>
          <w:color w:val="2F5496" w:themeColor="accent1" w:themeShade="BF"/>
          <w:sz w:val="20"/>
          <w:szCs w:val="20"/>
        </w:rPr>
        <w:t>relative aux conditions de modification par les gestionnaires de réseau public de la puissance de raccordement électrique des utilisateurs en application de l’article L. 342-24 du code de l’énergie</w:t>
      </w:r>
    </w:p>
    <w:p w14:paraId="3012A8DD" w14:textId="186F628A" w:rsidR="00CC4FDD" w:rsidRPr="00CC4FDD" w:rsidRDefault="00CC4FDD" w:rsidP="00CC4FDD">
      <w:pPr>
        <w:rPr>
          <w:rFonts w:ascii="Arial" w:hAnsi="Arial" w:cs="Arial"/>
          <w:sz w:val="20"/>
          <w:szCs w:val="20"/>
        </w:rPr>
      </w:pPr>
      <w:r w:rsidRPr="00CC4FDD">
        <w:rPr>
          <w:rFonts w:ascii="Arial" w:hAnsi="Arial" w:cs="Arial"/>
          <w:sz w:val="20"/>
          <w:szCs w:val="20"/>
        </w:rPr>
        <w:t>Réponse d’EDF</w:t>
      </w:r>
    </w:p>
    <w:p w14:paraId="29DB21F4" w14:textId="4E16F861" w:rsidR="00CC4FDD" w:rsidRPr="00CC4FDD" w:rsidRDefault="00CC4FDD" w:rsidP="00CC4FDD">
      <w:pPr>
        <w:pBdr>
          <w:top w:val="single" w:sz="4" w:space="1" w:color="auto"/>
        </w:pBdr>
        <w:jc w:val="right"/>
        <w:rPr>
          <w:rFonts w:ascii="Arial" w:hAnsi="Arial" w:cs="Arial"/>
          <w:sz w:val="20"/>
          <w:szCs w:val="20"/>
        </w:rPr>
      </w:pPr>
      <w:r w:rsidRPr="00CC4FDD">
        <w:rPr>
          <w:rFonts w:ascii="Arial" w:hAnsi="Arial" w:cs="Arial"/>
          <w:sz w:val="20"/>
          <w:szCs w:val="20"/>
        </w:rPr>
        <w:t xml:space="preserve">Paris, le </w:t>
      </w:r>
      <w:r w:rsidR="00D04A3B">
        <w:rPr>
          <w:rFonts w:ascii="Arial" w:hAnsi="Arial" w:cs="Arial"/>
          <w:sz w:val="20"/>
          <w:szCs w:val="20"/>
        </w:rPr>
        <w:t xml:space="preserve">24 </w:t>
      </w:r>
      <w:r w:rsidR="00971E5A">
        <w:rPr>
          <w:rFonts w:ascii="Arial" w:hAnsi="Arial" w:cs="Arial"/>
          <w:sz w:val="20"/>
          <w:szCs w:val="20"/>
        </w:rPr>
        <w:t>mai 2024</w:t>
      </w:r>
    </w:p>
    <w:p w14:paraId="7314EC9E" w14:textId="442E13D5" w:rsidR="00CC4FDD" w:rsidRPr="00CC4FDD" w:rsidRDefault="00CC4FDD">
      <w:pPr>
        <w:rPr>
          <w:rFonts w:ascii="Arial" w:hAnsi="Arial" w:cs="Arial"/>
          <w:color w:val="2F5496" w:themeColor="accent1" w:themeShade="BF"/>
          <w:sz w:val="20"/>
          <w:szCs w:val="20"/>
        </w:rPr>
      </w:pPr>
    </w:p>
    <w:p w14:paraId="36BBB5BC" w14:textId="0C7A2D50" w:rsidR="00CC4FDD" w:rsidRDefault="7484F617" w:rsidP="00110E9C">
      <w:pPr>
        <w:jc w:val="both"/>
        <w:rPr>
          <w:rFonts w:ascii="Arial" w:hAnsi="Arial" w:cs="Arial"/>
          <w:sz w:val="20"/>
          <w:szCs w:val="20"/>
        </w:rPr>
      </w:pPr>
      <w:r w:rsidRPr="09CE1AAE">
        <w:rPr>
          <w:rFonts w:ascii="Arial" w:hAnsi="Arial" w:cs="Arial"/>
          <w:sz w:val="20"/>
          <w:szCs w:val="20"/>
        </w:rPr>
        <w:t xml:space="preserve">On trouvera ci-dessous les réponses d’EDF aux </w:t>
      </w:r>
      <w:r w:rsidR="1EE4E5E2" w:rsidRPr="09CE1AAE">
        <w:rPr>
          <w:rFonts w:ascii="Arial" w:hAnsi="Arial" w:cs="Arial"/>
          <w:sz w:val="20"/>
          <w:szCs w:val="20"/>
        </w:rPr>
        <w:t xml:space="preserve">questions posées dans le cadre de </w:t>
      </w:r>
      <w:r w:rsidR="54D3E9C9" w:rsidRPr="09CE1AAE">
        <w:rPr>
          <w:rFonts w:ascii="Arial" w:hAnsi="Arial" w:cs="Arial"/>
          <w:sz w:val="20"/>
          <w:szCs w:val="20"/>
        </w:rPr>
        <w:t>la consultation sur l</w:t>
      </w:r>
      <w:r w:rsidR="6232AAA5" w:rsidRPr="09CE1AAE">
        <w:rPr>
          <w:rFonts w:ascii="Arial" w:hAnsi="Arial" w:cs="Arial"/>
          <w:sz w:val="20"/>
          <w:szCs w:val="20"/>
        </w:rPr>
        <w:t>es conditions de</w:t>
      </w:r>
      <w:r w:rsidR="54D3E9C9" w:rsidRPr="09CE1AAE">
        <w:rPr>
          <w:rFonts w:ascii="Arial" w:hAnsi="Arial" w:cs="Arial"/>
          <w:sz w:val="20"/>
          <w:szCs w:val="20"/>
        </w:rPr>
        <w:t xml:space="preserve"> </w:t>
      </w:r>
      <w:r w:rsidR="31D43CFC" w:rsidRPr="09CE1AAE">
        <w:rPr>
          <w:rFonts w:ascii="Arial" w:hAnsi="Arial" w:cs="Arial"/>
          <w:sz w:val="20"/>
          <w:szCs w:val="20"/>
        </w:rPr>
        <w:t>modification</w:t>
      </w:r>
      <w:r w:rsidR="54D3E9C9" w:rsidRPr="09CE1AAE">
        <w:rPr>
          <w:rFonts w:ascii="Arial" w:hAnsi="Arial" w:cs="Arial"/>
          <w:sz w:val="20"/>
          <w:szCs w:val="20"/>
        </w:rPr>
        <w:t xml:space="preserve"> par les gestionnaires de </w:t>
      </w:r>
      <w:r w:rsidR="31D43CFC" w:rsidRPr="09CE1AAE">
        <w:rPr>
          <w:rFonts w:ascii="Arial" w:hAnsi="Arial" w:cs="Arial"/>
          <w:sz w:val="20"/>
          <w:szCs w:val="20"/>
        </w:rPr>
        <w:t>réseaux de la puissance de raccordement</w:t>
      </w:r>
      <w:r w:rsidR="097516CA" w:rsidRPr="09CE1AAE">
        <w:rPr>
          <w:rFonts w:ascii="Arial" w:hAnsi="Arial" w:cs="Arial"/>
          <w:sz w:val="20"/>
          <w:szCs w:val="20"/>
        </w:rPr>
        <w:t xml:space="preserve"> électrique des utilisateurs en application de l’</w:t>
      </w:r>
      <w:r w:rsidR="2101E324" w:rsidRPr="09CE1AAE">
        <w:rPr>
          <w:rFonts w:ascii="Arial" w:hAnsi="Arial" w:cs="Arial"/>
          <w:sz w:val="20"/>
          <w:szCs w:val="20"/>
        </w:rPr>
        <w:t>article L.342-24 du code de l’énergie.</w:t>
      </w:r>
    </w:p>
    <w:p w14:paraId="12E4FE3B" w14:textId="25BC0365" w:rsidR="00665D10" w:rsidRDefault="00DC227A" w:rsidP="00110E9C">
      <w:pPr>
        <w:jc w:val="both"/>
        <w:rPr>
          <w:rFonts w:ascii="Arial" w:hAnsi="Arial" w:cs="Arial"/>
          <w:sz w:val="20"/>
          <w:szCs w:val="20"/>
        </w:rPr>
      </w:pPr>
      <w:r w:rsidRPr="09CE1AAE">
        <w:rPr>
          <w:rFonts w:ascii="Arial" w:hAnsi="Arial" w:cs="Arial"/>
          <w:sz w:val="20"/>
          <w:szCs w:val="20"/>
        </w:rPr>
        <w:t xml:space="preserve">Sur le </w:t>
      </w:r>
      <w:r w:rsidR="00DC4760" w:rsidRPr="09CE1AAE">
        <w:rPr>
          <w:rFonts w:ascii="Arial" w:hAnsi="Arial" w:cs="Arial"/>
          <w:sz w:val="20"/>
          <w:szCs w:val="20"/>
        </w:rPr>
        <w:t>fond</w:t>
      </w:r>
      <w:r w:rsidRPr="09CE1AAE">
        <w:rPr>
          <w:rFonts w:ascii="Arial" w:hAnsi="Arial" w:cs="Arial"/>
          <w:sz w:val="20"/>
          <w:szCs w:val="20"/>
        </w:rPr>
        <w:t>, EDF ne peut que partager l’objectif d’optimisation d</w:t>
      </w:r>
      <w:r w:rsidR="002E577B" w:rsidRPr="09CE1AAE">
        <w:rPr>
          <w:rFonts w:ascii="Arial" w:hAnsi="Arial" w:cs="Arial"/>
          <w:sz w:val="20"/>
          <w:szCs w:val="20"/>
        </w:rPr>
        <w:t xml:space="preserve">u dimensionnement du réseau. </w:t>
      </w:r>
      <w:r w:rsidR="00DC4760" w:rsidRPr="09CE1AAE">
        <w:rPr>
          <w:rFonts w:ascii="Arial" w:hAnsi="Arial" w:cs="Arial"/>
          <w:sz w:val="20"/>
          <w:szCs w:val="20"/>
        </w:rPr>
        <w:t>Mais</w:t>
      </w:r>
      <w:r w:rsidR="004B349C" w:rsidRPr="09CE1AAE">
        <w:rPr>
          <w:rFonts w:ascii="Arial" w:hAnsi="Arial" w:cs="Arial"/>
          <w:sz w:val="20"/>
          <w:szCs w:val="20"/>
        </w:rPr>
        <w:t xml:space="preserve"> </w:t>
      </w:r>
      <w:r w:rsidR="0053084E" w:rsidRPr="09CE1AAE">
        <w:rPr>
          <w:rFonts w:ascii="Arial" w:hAnsi="Arial" w:cs="Arial"/>
          <w:sz w:val="20"/>
          <w:szCs w:val="20"/>
        </w:rPr>
        <w:t>l’entreprise constate également</w:t>
      </w:r>
      <w:r w:rsidR="00DC4760" w:rsidRPr="09CE1AAE">
        <w:rPr>
          <w:rFonts w:ascii="Arial" w:hAnsi="Arial" w:cs="Arial"/>
          <w:sz w:val="20"/>
          <w:szCs w:val="20"/>
        </w:rPr>
        <w:t xml:space="preserve"> </w:t>
      </w:r>
      <w:r w:rsidR="004B349C" w:rsidRPr="09CE1AAE">
        <w:rPr>
          <w:rFonts w:ascii="Arial" w:hAnsi="Arial" w:cs="Arial"/>
          <w:sz w:val="20"/>
          <w:szCs w:val="20"/>
        </w:rPr>
        <w:t xml:space="preserve">que </w:t>
      </w:r>
      <w:r w:rsidR="00DC4760" w:rsidRPr="09CE1AAE">
        <w:rPr>
          <w:rFonts w:ascii="Arial" w:hAnsi="Arial" w:cs="Arial"/>
          <w:sz w:val="20"/>
          <w:szCs w:val="20"/>
        </w:rPr>
        <w:t xml:space="preserve">la mise en œuvre pratique </w:t>
      </w:r>
      <w:r w:rsidR="004B349C" w:rsidRPr="09CE1AAE">
        <w:rPr>
          <w:rFonts w:ascii="Arial" w:hAnsi="Arial" w:cs="Arial"/>
          <w:sz w:val="20"/>
          <w:szCs w:val="20"/>
        </w:rPr>
        <w:t xml:space="preserve">de cet objectif </w:t>
      </w:r>
      <w:r w:rsidR="00DC4760" w:rsidRPr="09CE1AAE">
        <w:rPr>
          <w:rFonts w:ascii="Arial" w:hAnsi="Arial" w:cs="Arial"/>
          <w:sz w:val="20"/>
          <w:szCs w:val="20"/>
        </w:rPr>
        <w:t>est</w:t>
      </w:r>
      <w:r w:rsidR="00323F2C" w:rsidRPr="09CE1AAE">
        <w:rPr>
          <w:rFonts w:ascii="Arial" w:hAnsi="Arial" w:cs="Arial"/>
          <w:sz w:val="20"/>
          <w:szCs w:val="20"/>
        </w:rPr>
        <w:t xml:space="preserve"> rendue délicate</w:t>
      </w:r>
      <w:r w:rsidR="004B349C" w:rsidRPr="09CE1AAE">
        <w:rPr>
          <w:rFonts w:ascii="Arial" w:hAnsi="Arial" w:cs="Arial"/>
          <w:sz w:val="20"/>
          <w:szCs w:val="20"/>
        </w:rPr>
        <w:t xml:space="preserve"> par </w:t>
      </w:r>
      <w:r w:rsidR="0024315F" w:rsidRPr="09CE1AAE">
        <w:rPr>
          <w:rFonts w:ascii="Arial" w:hAnsi="Arial" w:cs="Arial"/>
          <w:sz w:val="20"/>
          <w:szCs w:val="20"/>
        </w:rPr>
        <w:t>le grand nombre et le vaste éventail</w:t>
      </w:r>
      <w:r w:rsidR="005844ED" w:rsidRPr="09CE1AAE">
        <w:rPr>
          <w:rFonts w:ascii="Arial" w:hAnsi="Arial" w:cs="Arial"/>
          <w:sz w:val="20"/>
          <w:szCs w:val="20"/>
        </w:rPr>
        <w:t xml:space="preserve"> </w:t>
      </w:r>
      <w:r w:rsidR="0024315F" w:rsidRPr="09CE1AAE">
        <w:rPr>
          <w:rFonts w:ascii="Arial" w:hAnsi="Arial" w:cs="Arial"/>
          <w:sz w:val="20"/>
          <w:szCs w:val="20"/>
        </w:rPr>
        <w:t>de</w:t>
      </w:r>
      <w:r w:rsidR="00424B19" w:rsidRPr="09CE1AAE">
        <w:rPr>
          <w:rFonts w:ascii="Arial" w:hAnsi="Arial" w:cs="Arial"/>
          <w:sz w:val="20"/>
          <w:szCs w:val="20"/>
        </w:rPr>
        <w:t>s</w:t>
      </w:r>
      <w:r w:rsidR="0024315F" w:rsidRPr="09CE1AAE">
        <w:rPr>
          <w:rFonts w:ascii="Arial" w:hAnsi="Arial" w:cs="Arial"/>
          <w:sz w:val="20"/>
          <w:szCs w:val="20"/>
        </w:rPr>
        <w:t xml:space="preserve"> cas </w:t>
      </w:r>
      <w:r w:rsidR="00814EBB" w:rsidRPr="09CE1AAE">
        <w:rPr>
          <w:rFonts w:ascii="Arial" w:hAnsi="Arial" w:cs="Arial"/>
          <w:sz w:val="20"/>
          <w:szCs w:val="20"/>
        </w:rPr>
        <w:t>dans lesquels</w:t>
      </w:r>
      <w:r w:rsidR="0043316D" w:rsidRPr="09CE1AAE">
        <w:rPr>
          <w:rFonts w:ascii="Arial" w:hAnsi="Arial" w:cs="Arial"/>
          <w:sz w:val="20"/>
          <w:szCs w:val="20"/>
        </w:rPr>
        <w:t xml:space="preserve"> il est techniquement et industriellement approprié </w:t>
      </w:r>
      <w:r w:rsidR="008F6FCE" w:rsidRPr="09CE1AAE">
        <w:rPr>
          <w:rFonts w:ascii="Arial" w:hAnsi="Arial" w:cs="Arial"/>
          <w:sz w:val="20"/>
          <w:szCs w:val="20"/>
        </w:rPr>
        <w:t xml:space="preserve">de demander et </w:t>
      </w:r>
      <w:r w:rsidR="004662B9" w:rsidRPr="09CE1AAE">
        <w:rPr>
          <w:rFonts w:ascii="Arial" w:hAnsi="Arial" w:cs="Arial"/>
          <w:sz w:val="20"/>
          <w:szCs w:val="20"/>
        </w:rPr>
        <w:t xml:space="preserve">de disposer d’une puissance de </w:t>
      </w:r>
      <w:r w:rsidR="009838F8" w:rsidRPr="09CE1AAE">
        <w:rPr>
          <w:rFonts w:ascii="Arial" w:hAnsi="Arial" w:cs="Arial"/>
          <w:sz w:val="20"/>
          <w:szCs w:val="20"/>
        </w:rPr>
        <w:t>raccordement</w:t>
      </w:r>
      <w:r w:rsidR="004662B9" w:rsidRPr="09CE1AAE">
        <w:rPr>
          <w:rFonts w:ascii="Arial" w:hAnsi="Arial" w:cs="Arial"/>
          <w:sz w:val="20"/>
          <w:szCs w:val="20"/>
        </w:rPr>
        <w:t xml:space="preserve"> </w:t>
      </w:r>
      <w:r w:rsidR="009838F8" w:rsidRPr="09CE1AAE">
        <w:rPr>
          <w:rFonts w:ascii="Arial" w:hAnsi="Arial" w:cs="Arial"/>
          <w:sz w:val="20"/>
          <w:szCs w:val="20"/>
        </w:rPr>
        <w:t xml:space="preserve">supérieure à  la puissance </w:t>
      </w:r>
      <w:r w:rsidR="00DA3CC7" w:rsidRPr="09CE1AAE">
        <w:rPr>
          <w:rFonts w:ascii="Arial" w:hAnsi="Arial" w:cs="Arial"/>
          <w:sz w:val="20"/>
          <w:szCs w:val="20"/>
        </w:rPr>
        <w:t xml:space="preserve">effectivement </w:t>
      </w:r>
      <w:r w:rsidR="009838F8" w:rsidRPr="09CE1AAE">
        <w:rPr>
          <w:rFonts w:ascii="Arial" w:hAnsi="Arial" w:cs="Arial"/>
          <w:sz w:val="20"/>
          <w:szCs w:val="20"/>
        </w:rPr>
        <w:t>appelée</w:t>
      </w:r>
      <w:r w:rsidR="2E27F00C" w:rsidRPr="09CE1AAE">
        <w:rPr>
          <w:rFonts w:ascii="Arial" w:hAnsi="Arial" w:cs="Arial"/>
          <w:sz w:val="20"/>
          <w:szCs w:val="20"/>
        </w:rPr>
        <w:t>,</w:t>
      </w:r>
      <w:r w:rsidR="001D1DA4" w:rsidRPr="09CE1AAE">
        <w:rPr>
          <w:rFonts w:ascii="Arial" w:hAnsi="Arial" w:cs="Arial"/>
          <w:sz w:val="20"/>
          <w:szCs w:val="20"/>
        </w:rPr>
        <w:t xml:space="preserve"> </w:t>
      </w:r>
      <w:r w:rsidR="00AE0ADB" w:rsidRPr="09CE1AAE">
        <w:rPr>
          <w:rFonts w:ascii="Arial" w:hAnsi="Arial" w:cs="Arial"/>
          <w:sz w:val="20"/>
          <w:szCs w:val="20"/>
        </w:rPr>
        <w:t>parce</w:t>
      </w:r>
      <w:r w:rsidR="001D1DA4" w:rsidRPr="09CE1AAE">
        <w:rPr>
          <w:rFonts w:ascii="Arial" w:hAnsi="Arial" w:cs="Arial"/>
          <w:sz w:val="20"/>
          <w:szCs w:val="20"/>
        </w:rPr>
        <w:t xml:space="preserve"> qu’on a affaire à des </w:t>
      </w:r>
      <w:r w:rsidR="00CB0559" w:rsidRPr="09CE1AAE">
        <w:rPr>
          <w:rFonts w:ascii="Arial" w:hAnsi="Arial" w:cs="Arial"/>
          <w:sz w:val="20"/>
          <w:szCs w:val="20"/>
        </w:rPr>
        <w:t>installations qui montent en capacité</w:t>
      </w:r>
      <w:r w:rsidR="008B2142" w:rsidRPr="09CE1AAE">
        <w:rPr>
          <w:rFonts w:ascii="Arial" w:hAnsi="Arial" w:cs="Arial"/>
          <w:sz w:val="20"/>
          <w:szCs w:val="20"/>
        </w:rPr>
        <w:t xml:space="preserve"> de production sur plusieurs années, </w:t>
      </w:r>
      <w:r w:rsidR="007F5DC1" w:rsidRPr="09CE1AAE">
        <w:rPr>
          <w:rFonts w:ascii="Arial" w:hAnsi="Arial" w:cs="Arial"/>
          <w:sz w:val="20"/>
          <w:szCs w:val="20"/>
        </w:rPr>
        <w:t xml:space="preserve">ou encore </w:t>
      </w:r>
      <w:r w:rsidR="0012619B" w:rsidRPr="09CE1AAE">
        <w:rPr>
          <w:rFonts w:ascii="Arial" w:hAnsi="Arial" w:cs="Arial"/>
          <w:sz w:val="20"/>
          <w:szCs w:val="20"/>
        </w:rPr>
        <w:t>parce que la gestion optimisée de certains moyens conduit</w:t>
      </w:r>
      <w:r w:rsidR="005D3B23" w:rsidRPr="09CE1AAE">
        <w:rPr>
          <w:rFonts w:ascii="Arial" w:hAnsi="Arial" w:cs="Arial"/>
          <w:sz w:val="20"/>
          <w:szCs w:val="20"/>
        </w:rPr>
        <w:t xml:space="preserve"> à ne pas utiliser, pendant de longs délais, </w:t>
      </w:r>
      <w:r w:rsidR="009869C2" w:rsidRPr="09CE1AAE">
        <w:rPr>
          <w:rFonts w:ascii="Arial" w:hAnsi="Arial" w:cs="Arial"/>
          <w:sz w:val="20"/>
          <w:szCs w:val="20"/>
        </w:rPr>
        <w:t>tout</w:t>
      </w:r>
      <w:r w:rsidR="007D4CDA" w:rsidRPr="09CE1AAE">
        <w:rPr>
          <w:rFonts w:ascii="Arial" w:hAnsi="Arial" w:cs="Arial"/>
          <w:sz w:val="20"/>
          <w:szCs w:val="20"/>
        </w:rPr>
        <w:t>e</w:t>
      </w:r>
      <w:r w:rsidR="009869C2" w:rsidRPr="09CE1AAE">
        <w:rPr>
          <w:rFonts w:ascii="Arial" w:hAnsi="Arial" w:cs="Arial"/>
          <w:sz w:val="20"/>
          <w:szCs w:val="20"/>
        </w:rPr>
        <w:t xml:space="preserve"> la puissance de </w:t>
      </w:r>
      <w:r w:rsidR="0081689C" w:rsidRPr="09CE1AAE">
        <w:rPr>
          <w:rFonts w:ascii="Arial" w:hAnsi="Arial" w:cs="Arial"/>
          <w:sz w:val="20"/>
          <w:szCs w:val="20"/>
        </w:rPr>
        <w:t>raccordement disponible sans qu’elle ne devienne pour autant inutile.</w:t>
      </w:r>
    </w:p>
    <w:p w14:paraId="61E41341" w14:textId="2CD705CF" w:rsidR="00744E49" w:rsidRDefault="00F75913" w:rsidP="00110E9C">
      <w:pPr>
        <w:jc w:val="both"/>
        <w:rPr>
          <w:rFonts w:ascii="Arial" w:hAnsi="Arial" w:cs="Arial"/>
          <w:sz w:val="20"/>
          <w:szCs w:val="20"/>
        </w:rPr>
      </w:pPr>
      <w:r>
        <w:rPr>
          <w:rFonts w:ascii="Arial" w:hAnsi="Arial" w:cs="Arial"/>
          <w:sz w:val="20"/>
          <w:szCs w:val="20"/>
        </w:rPr>
        <w:t xml:space="preserve">Notre compréhension du TURPE </w:t>
      </w:r>
      <w:r w:rsidR="000C5D4A">
        <w:rPr>
          <w:rFonts w:ascii="Arial" w:hAnsi="Arial" w:cs="Arial"/>
          <w:sz w:val="20"/>
          <w:szCs w:val="20"/>
        </w:rPr>
        <w:t xml:space="preserve">est que </w:t>
      </w:r>
      <w:r w:rsidR="001C6CB9">
        <w:rPr>
          <w:rFonts w:ascii="Arial" w:hAnsi="Arial" w:cs="Arial"/>
          <w:sz w:val="20"/>
          <w:szCs w:val="20"/>
        </w:rPr>
        <w:t>l</w:t>
      </w:r>
      <w:r w:rsidR="000C6C5F">
        <w:rPr>
          <w:rFonts w:ascii="Arial" w:hAnsi="Arial" w:cs="Arial"/>
          <w:sz w:val="20"/>
          <w:szCs w:val="20"/>
        </w:rPr>
        <w:t>a puissance d</w:t>
      </w:r>
      <w:r w:rsidR="001C6CB9">
        <w:rPr>
          <w:rFonts w:ascii="Arial" w:hAnsi="Arial" w:cs="Arial"/>
          <w:sz w:val="20"/>
          <w:szCs w:val="20"/>
        </w:rPr>
        <w:t xml:space="preserve">es raccordements dédiés au secours </w:t>
      </w:r>
      <w:r w:rsidR="00947980">
        <w:rPr>
          <w:rFonts w:ascii="Arial" w:hAnsi="Arial" w:cs="Arial"/>
          <w:sz w:val="20"/>
          <w:szCs w:val="20"/>
        </w:rPr>
        <w:t xml:space="preserve">suit toujours </w:t>
      </w:r>
      <w:r w:rsidR="00E21D9D">
        <w:rPr>
          <w:rFonts w:ascii="Arial" w:hAnsi="Arial" w:cs="Arial"/>
          <w:sz w:val="20"/>
          <w:szCs w:val="20"/>
        </w:rPr>
        <w:t xml:space="preserve">celle des raccordements principaux </w:t>
      </w:r>
      <w:r w:rsidR="00484BF2">
        <w:rPr>
          <w:rFonts w:ascii="Arial" w:hAnsi="Arial" w:cs="Arial"/>
          <w:sz w:val="20"/>
          <w:szCs w:val="20"/>
        </w:rPr>
        <w:t>et que l’</w:t>
      </w:r>
      <w:r w:rsidR="00491FEB">
        <w:rPr>
          <w:rFonts w:ascii="Arial" w:hAnsi="Arial" w:cs="Arial"/>
          <w:sz w:val="20"/>
          <w:szCs w:val="20"/>
        </w:rPr>
        <w:t>application</w:t>
      </w:r>
      <w:r w:rsidR="006309BC">
        <w:rPr>
          <w:rFonts w:ascii="Arial" w:hAnsi="Arial" w:cs="Arial"/>
          <w:sz w:val="20"/>
          <w:szCs w:val="20"/>
        </w:rPr>
        <w:t xml:space="preserve"> des règles proposées </w:t>
      </w:r>
      <w:r w:rsidR="00491FEB">
        <w:rPr>
          <w:rFonts w:ascii="Arial" w:hAnsi="Arial" w:cs="Arial"/>
          <w:sz w:val="20"/>
          <w:szCs w:val="20"/>
        </w:rPr>
        <w:t>ici par la CRE n’aura donc jamais</w:t>
      </w:r>
      <w:r w:rsidR="007A0154">
        <w:rPr>
          <w:rFonts w:ascii="Arial" w:hAnsi="Arial" w:cs="Arial"/>
          <w:sz w:val="20"/>
          <w:szCs w:val="20"/>
        </w:rPr>
        <w:t xml:space="preserve"> pour effet </w:t>
      </w:r>
      <w:r w:rsidR="009458EF">
        <w:rPr>
          <w:rFonts w:ascii="Arial" w:hAnsi="Arial" w:cs="Arial"/>
          <w:sz w:val="20"/>
          <w:szCs w:val="20"/>
        </w:rPr>
        <w:t xml:space="preserve">de restreindre </w:t>
      </w:r>
      <w:r w:rsidR="008F1629">
        <w:rPr>
          <w:rFonts w:ascii="Arial" w:hAnsi="Arial" w:cs="Arial"/>
          <w:sz w:val="20"/>
          <w:szCs w:val="20"/>
        </w:rPr>
        <w:t>la puissance d</w:t>
      </w:r>
      <w:r w:rsidR="0049331A">
        <w:rPr>
          <w:rFonts w:ascii="Arial" w:hAnsi="Arial" w:cs="Arial"/>
          <w:sz w:val="20"/>
          <w:szCs w:val="20"/>
        </w:rPr>
        <w:t xml:space="preserve">’un raccordement dédié au secours au seul </w:t>
      </w:r>
      <w:r w:rsidR="000D4002">
        <w:rPr>
          <w:rFonts w:ascii="Arial" w:hAnsi="Arial" w:cs="Arial"/>
          <w:sz w:val="20"/>
          <w:szCs w:val="20"/>
        </w:rPr>
        <w:t>prétexte</w:t>
      </w:r>
      <w:r w:rsidR="0049331A">
        <w:rPr>
          <w:rFonts w:ascii="Arial" w:hAnsi="Arial" w:cs="Arial"/>
          <w:sz w:val="20"/>
          <w:szCs w:val="20"/>
        </w:rPr>
        <w:t xml:space="preserve"> qu’il n’aurait pas été utilisé</w:t>
      </w:r>
      <w:r w:rsidR="004122A5">
        <w:rPr>
          <w:rFonts w:ascii="Arial" w:hAnsi="Arial" w:cs="Arial"/>
          <w:sz w:val="20"/>
          <w:szCs w:val="20"/>
        </w:rPr>
        <w:t>, ce qui serait évidemment</w:t>
      </w:r>
      <w:r w:rsidR="00FD3E93">
        <w:rPr>
          <w:rFonts w:ascii="Arial" w:hAnsi="Arial" w:cs="Arial"/>
          <w:sz w:val="20"/>
          <w:szCs w:val="20"/>
        </w:rPr>
        <w:t xml:space="preserve"> dommageable</w:t>
      </w:r>
      <w:r w:rsidR="00DF615A">
        <w:rPr>
          <w:rFonts w:ascii="Arial" w:hAnsi="Arial" w:cs="Arial"/>
          <w:sz w:val="20"/>
          <w:szCs w:val="20"/>
        </w:rPr>
        <w:t xml:space="preserve">. </w:t>
      </w:r>
      <w:r w:rsidR="004759A0">
        <w:rPr>
          <w:rFonts w:ascii="Arial" w:hAnsi="Arial" w:cs="Arial"/>
          <w:sz w:val="20"/>
          <w:szCs w:val="20"/>
        </w:rPr>
        <w:t xml:space="preserve">Si notre interprétation des dispositions relatives au secours devait être infirmée, </w:t>
      </w:r>
      <w:r w:rsidR="007E6F4E">
        <w:rPr>
          <w:rFonts w:ascii="Arial" w:hAnsi="Arial" w:cs="Arial"/>
          <w:sz w:val="20"/>
          <w:szCs w:val="20"/>
        </w:rPr>
        <w:t>il conviendrait naturellement d’</w:t>
      </w:r>
      <w:r w:rsidR="00414E34">
        <w:rPr>
          <w:rFonts w:ascii="Arial" w:hAnsi="Arial" w:cs="Arial"/>
          <w:sz w:val="20"/>
          <w:szCs w:val="20"/>
        </w:rPr>
        <w:t>ajouter</w:t>
      </w:r>
      <w:r w:rsidR="007E6F4E">
        <w:rPr>
          <w:rFonts w:ascii="Arial" w:hAnsi="Arial" w:cs="Arial"/>
          <w:sz w:val="20"/>
          <w:szCs w:val="20"/>
        </w:rPr>
        <w:t xml:space="preserve"> les raccordements de secours </w:t>
      </w:r>
      <w:r w:rsidR="00D511C4">
        <w:rPr>
          <w:rFonts w:ascii="Arial" w:hAnsi="Arial" w:cs="Arial"/>
          <w:sz w:val="20"/>
          <w:szCs w:val="20"/>
        </w:rPr>
        <w:t xml:space="preserve">à la liste des </w:t>
      </w:r>
      <w:r w:rsidR="007377B6">
        <w:rPr>
          <w:rFonts w:ascii="Arial" w:hAnsi="Arial" w:cs="Arial"/>
          <w:sz w:val="20"/>
          <w:szCs w:val="20"/>
        </w:rPr>
        <w:t>installations</w:t>
      </w:r>
      <w:r w:rsidR="00D511C4">
        <w:rPr>
          <w:rFonts w:ascii="Arial" w:hAnsi="Arial" w:cs="Arial"/>
          <w:sz w:val="20"/>
          <w:szCs w:val="20"/>
        </w:rPr>
        <w:t xml:space="preserve"> devant être exonéré</w:t>
      </w:r>
      <w:r w:rsidR="007377B6">
        <w:rPr>
          <w:rFonts w:ascii="Arial" w:hAnsi="Arial" w:cs="Arial"/>
          <w:sz w:val="20"/>
          <w:szCs w:val="20"/>
        </w:rPr>
        <w:t xml:space="preserve">es de l’application des nouvelles règles. </w:t>
      </w:r>
    </w:p>
    <w:p w14:paraId="20E86769" w14:textId="41D5EC1A" w:rsidR="0081689C" w:rsidRDefault="007B3979" w:rsidP="00110E9C">
      <w:pPr>
        <w:jc w:val="both"/>
        <w:rPr>
          <w:rFonts w:ascii="Arial" w:hAnsi="Arial" w:cs="Arial"/>
          <w:sz w:val="20"/>
          <w:szCs w:val="20"/>
        </w:rPr>
      </w:pPr>
      <w:r w:rsidRPr="09CE1AAE">
        <w:rPr>
          <w:rFonts w:ascii="Arial" w:hAnsi="Arial" w:cs="Arial"/>
          <w:sz w:val="20"/>
          <w:szCs w:val="20"/>
        </w:rPr>
        <w:t>La CRE</w:t>
      </w:r>
      <w:r w:rsidR="002E045A" w:rsidRPr="09CE1AAE">
        <w:rPr>
          <w:rFonts w:ascii="Arial" w:hAnsi="Arial" w:cs="Arial"/>
          <w:sz w:val="20"/>
          <w:szCs w:val="20"/>
        </w:rPr>
        <w:t xml:space="preserve"> observe par ailleurs, dans son propos introductif, </w:t>
      </w:r>
      <w:r w:rsidR="00685E79" w:rsidRPr="09CE1AAE">
        <w:rPr>
          <w:rFonts w:ascii="Arial" w:hAnsi="Arial" w:cs="Arial"/>
          <w:sz w:val="20"/>
          <w:szCs w:val="20"/>
        </w:rPr>
        <w:t xml:space="preserve">que les coûts de raccordement sont souvent construits en </w:t>
      </w:r>
      <w:r w:rsidR="00CF104E" w:rsidRPr="09CE1AAE">
        <w:rPr>
          <w:rFonts w:ascii="Arial" w:hAnsi="Arial" w:cs="Arial"/>
          <w:sz w:val="20"/>
          <w:szCs w:val="20"/>
        </w:rPr>
        <w:t>marches</w:t>
      </w:r>
      <w:r w:rsidR="00685E79" w:rsidRPr="09CE1AAE">
        <w:rPr>
          <w:rFonts w:ascii="Arial" w:hAnsi="Arial" w:cs="Arial"/>
          <w:sz w:val="20"/>
          <w:szCs w:val="20"/>
        </w:rPr>
        <w:t xml:space="preserve"> d’escalier</w:t>
      </w:r>
      <w:r w:rsidR="00337146" w:rsidRPr="09CE1AAE">
        <w:rPr>
          <w:rFonts w:ascii="Arial" w:hAnsi="Arial" w:cs="Arial"/>
          <w:sz w:val="20"/>
          <w:szCs w:val="20"/>
        </w:rPr>
        <w:t>, ce qui « incite les demandeurs à demander la puissance de raccordement la plus élevée possible</w:t>
      </w:r>
      <w:r w:rsidR="009F2CDC" w:rsidRPr="09CE1AAE">
        <w:rPr>
          <w:rFonts w:ascii="Arial" w:hAnsi="Arial" w:cs="Arial"/>
          <w:sz w:val="20"/>
          <w:szCs w:val="20"/>
        </w:rPr>
        <w:t xml:space="preserve"> pour un même coût de raccordement »</w:t>
      </w:r>
      <w:r w:rsidR="009C46FF" w:rsidRPr="09CE1AAE">
        <w:rPr>
          <w:rFonts w:ascii="Arial" w:hAnsi="Arial" w:cs="Arial"/>
          <w:sz w:val="20"/>
          <w:szCs w:val="20"/>
        </w:rPr>
        <w:t>. Il nous semble qu’une optimisation d</w:t>
      </w:r>
      <w:r w:rsidR="006D010C" w:rsidRPr="09CE1AAE">
        <w:rPr>
          <w:rFonts w:ascii="Arial" w:hAnsi="Arial" w:cs="Arial"/>
          <w:sz w:val="20"/>
          <w:szCs w:val="20"/>
        </w:rPr>
        <w:t xml:space="preserve">u dimensionnement du réseau via une optimisation du coût de raccordement </w:t>
      </w:r>
      <w:r w:rsidR="00B02854" w:rsidRPr="09CE1AAE">
        <w:rPr>
          <w:rFonts w:ascii="Arial" w:hAnsi="Arial" w:cs="Arial"/>
          <w:sz w:val="20"/>
          <w:szCs w:val="20"/>
        </w:rPr>
        <w:t>mériterait</w:t>
      </w:r>
      <w:r w:rsidR="006D010C" w:rsidRPr="09CE1AAE">
        <w:rPr>
          <w:rFonts w:ascii="Arial" w:hAnsi="Arial" w:cs="Arial"/>
          <w:sz w:val="20"/>
          <w:szCs w:val="20"/>
        </w:rPr>
        <w:t xml:space="preserve"> </w:t>
      </w:r>
      <w:r w:rsidR="00B02854" w:rsidRPr="09CE1AAE">
        <w:rPr>
          <w:rFonts w:ascii="Arial" w:hAnsi="Arial" w:cs="Arial"/>
          <w:sz w:val="20"/>
          <w:szCs w:val="20"/>
        </w:rPr>
        <w:t>également d’être instruite</w:t>
      </w:r>
      <w:r w:rsidR="002821E9" w:rsidRPr="09CE1AAE">
        <w:rPr>
          <w:rFonts w:ascii="Arial" w:hAnsi="Arial" w:cs="Arial"/>
          <w:sz w:val="20"/>
          <w:szCs w:val="20"/>
        </w:rPr>
        <w:t xml:space="preserve">. </w:t>
      </w:r>
      <w:r w:rsidR="004A4CEA" w:rsidRPr="09CE1AAE">
        <w:rPr>
          <w:rFonts w:ascii="Arial" w:hAnsi="Arial" w:cs="Arial"/>
          <w:sz w:val="20"/>
          <w:szCs w:val="20"/>
        </w:rPr>
        <w:t>En effet</w:t>
      </w:r>
      <w:r w:rsidR="0051654E" w:rsidRPr="09CE1AAE">
        <w:rPr>
          <w:rFonts w:ascii="Arial" w:hAnsi="Arial" w:cs="Arial"/>
          <w:sz w:val="20"/>
          <w:szCs w:val="20"/>
        </w:rPr>
        <w:t>, s</w:t>
      </w:r>
      <w:r w:rsidR="004A4CEA" w:rsidRPr="09CE1AAE">
        <w:rPr>
          <w:rFonts w:ascii="Arial" w:hAnsi="Arial" w:cs="Arial"/>
          <w:sz w:val="20"/>
          <w:szCs w:val="20"/>
        </w:rPr>
        <w:t xml:space="preserve">i </w:t>
      </w:r>
      <w:r w:rsidR="002821E9" w:rsidRPr="09CE1AAE">
        <w:rPr>
          <w:rFonts w:ascii="Arial" w:hAnsi="Arial" w:cs="Arial"/>
          <w:sz w:val="20"/>
          <w:szCs w:val="20"/>
        </w:rPr>
        <w:t xml:space="preserve">les coûts facturés ne reflètent pas les </w:t>
      </w:r>
      <w:r w:rsidR="00AB169A" w:rsidRPr="09CE1AAE">
        <w:rPr>
          <w:rFonts w:ascii="Arial" w:hAnsi="Arial" w:cs="Arial"/>
          <w:sz w:val="20"/>
          <w:szCs w:val="20"/>
        </w:rPr>
        <w:t xml:space="preserve">coûts réels, la facturation </w:t>
      </w:r>
      <w:r w:rsidR="00220B71" w:rsidRPr="09CE1AAE">
        <w:rPr>
          <w:rFonts w:ascii="Arial" w:hAnsi="Arial" w:cs="Arial"/>
          <w:sz w:val="20"/>
          <w:szCs w:val="20"/>
        </w:rPr>
        <w:t>ne donne pas de bonnes incitation</w:t>
      </w:r>
      <w:r w:rsidR="00881BA1" w:rsidRPr="09CE1AAE">
        <w:rPr>
          <w:rFonts w:ascii="Arial" w:hAnsi="Arial" w:cs="Arial"/>
          <w:sz w:val="20"/>
          <w:szCs w:val="20"/>
        </w:rPr>
        <w:t>s</w:t>
      </w:r>
      <w:r w:rsidR="00AB169A" w:rsidRPr="09CE1AAE">
        <w:rPr>
          <w:rFonts w:ascii="Arial" w:hAnsi="Arial" w:cs="Arial"/>
          <w:sz w:val="20"/>
          <w:szCs w:val="20"/>
        </w:rPr>
        <w:t>.</w:t>
      </w:r>
    </w:p>
    <w:p w14:paraId="2F8900DB" w14:textId="12CC4260" w:rsidR="006A5254" w:rsidRPr="007F131D" w:rsidRDefault="00651B00" w:rsidP="0B609792">
      <w:pPr>
        <w:jc w:val="both"/>
        <w:rPr>
          <w:rFonts w:ascii="Arial" w:eastAsia="Arial" w:hAnsi="Arial" w:cs="Arial"/>
          <w:sz w:val="20"/>
          <w:szCs w:val="20"/>
        </w:rPr>
      </w:pPr>
      <w:r w:rsidRPr="0B609792">
        <w:rPr>
          <w:rFonts w:ascii="Arial" w:hAnsi="Arial" w:cs="Arial"/>
          <w:sz w:val="20"/>
          <w:szCs w:val="20"/>
        </w:rPr>
        <w:t xml:space="preserve">Enfin, il est sans doute possible, dans certains cas, de substituer </w:t>
      </w:r>
      <w:r w:rsidR="00F8736E" w:rsidRPr="0B609792">
        <w:rPr>
          <w:rFonts w:ascii="Arial" w:hAnsi="Arial" w:cs="Arial"/>
          <w:sz w:val="20"/>
          <w:szCs w:val="20"/>
        </w:rPr>
        <w:t>des moyens alternatifs</w:t>
      </w:r>
      <w:r w:rsidR="00FE16FA" w:rsidRPr="0B609792">
        <w:rPr>
          <w:rFonts w:ascii="Arial" w:hAnsi="Arial" w:cs="Arial"/>
          <w:sz w:val="20"/>
          <w:szCs w:val="20"/>
        </w:rPr>
        <w:t xml:space="preserve"> à une augmentation</w:t>
      </w:r>
      <w:r w:rsidR="008E1626" w:rsidRPr="0B609792">
        <w:rPr>
          <w:rFonts w:ascii="Arial" w:hAnsi="Arial" w:cs="Arial"/>
          <w:sz w:val="20"/>
          <w:szCs w:val="20"/>
        </w:rPr>
        <w:t xml:space="preserve"> de la puissance de </w:t>
      </w:r>
      <w:r w:rsidR="006D68DF" w:rsidRPr="0B609792">
        <w:rPr>
          <w:rFonts w:ascii="Arial" w:hAnsi="Arial" w:cs="Arial"/>
          <w:sz w:val="20"/>
          <w:szCs w:val="20"/>
        </w:rPr>
        <w:t>raccordement mais</w:t>
      </w:r>
      <w:r w:rsidR="00807617" w:rsidRPr="0B609792">
        <w:rPr>
          <w:rFonts w:ascii="Arial" w:hAnsi="Arial" w:cs="Arial"/>
          <w:sz w:val="20"/>
          <w:szCs w:val="20"/>
        </w:rPr>
        <w:t xml:space="preserve"> </w:t>
      </w:r>
      <w:r w:rsidR="000F4F2A" w:rsidRPr="0B609792">
        <w:rPr>
          <w:rFonts w:ascii="Arial" w:hAnsi="Arial" w:cs="Arial"/>
          <w:sz w:val="20"/>
          <w:szCs w:val="20"/>
        </w:rPr>
        <w:t xml:space="preserve">c’est au cas par cas, installation par installation, que cet arbitrage paraît devoir être fait. </w:t>
      </w:r>
      <w:r w:rsidR="009616AA" w:rsidRPr="0B609792">
        <w:rPr>
          <w:rFonts w:ascii="Arial" w:hAnsi="Arial" w:cs="Arial"/>
          <w:sz w:val="20"/>
          <w:szCs w:val="20"/>
        </w:rPr>
        <w:t xml:space="preserve">C’est pourquoi </w:t>
      </w:r>
      <w:r w:rsidR="00E32962" w:rsidRPr="0B609792">
        <w:rPr>
          <w:rFonts w:ascii="Arial" w:hAnsi="Arial" w:cs="Arial"/>
          <w:sz w:val="20"/>
          <w:szCs w:val="20"/>
        </w:rPr>
        <w:t>le principe d’une règle s’appl</w:t>
      </w:r>
      <w:r w:rsidR="00706336" w:rsidRPr="0B609792">
        <w:rPr>
          <w:rFonts w:ascii="Arial" w:hAnsi="Arial" w:cs="Arial"/>
          <w:sz w:val="20"/>
          <w:szCs w:val="20"/>
        </w:rPr>
        <w:t xml:space="preserve">iquant uniformément nous </w:t>
      </w:r>
      <w:r w:rsidR="006D68DF" w:rsidRPr="0B609792">
        <w:rPr>
          <w:rFonts w:ascii="Arial" w:hAnsi="Arial" w:cs="Arial"/>
          <w:sz w:val="20"/>
          <w:szCs w:val="20"/>
        </w:rPr>
        <w:t>paraît peu approprié, au moins pour les installations existantes.</w:t>
      </w:r>
      <w:r w:rsidR="006A5254" w:rsidRPr="0B609792">
        <w:rPr>
          <w:rFonts w:ascii="Arial" w:hAnsi="Arial" w:cs="Arial"/>
          <w:sz w:val="20"/>
          <w:szCs w:val="20"/>
        </w:rPr>
        <w:t xml:space="preserve"> Il serait </w:t>
      </w:r>
      <w:r w:rsidR="00BB0AB2" w:rsidRPr="0B609792">
        <w:rPr>
          <w:rFonts w:ascii="Arial" w:hAnsi="Arial" w:cs="Arial"/>
          <w:sz w:val="20"/>
          <w:szCs w:val="20"/>
        </w:rPr>
        <w:t xml:space="preserve">d’ailleurs </w:t>
      </w:r>
      <w:r w:rsidR="006A5254" w:rsidRPr="0B609792">
        <w:rPr>
          <w:rFonts w:ascii="Arial" w:hAnsi="Arial" w:cs="Arial"/>
          <w:sz w:val="20"/>
          <w:szCs w:val="20"/>
        </w:rPr>
        <w:t>utile d’essayer de catégoriser les raisons pour lesquelles un écart est observé entre Puissance souscrite et Puissance de raccordement : mauvaise estimation initiale, problèmes techniques, … ainsi que le caractère pérenne ou non de l’écart.</w:t>
      </w:r>
      <w:r w:rsidR="112939E9" w:rsidRPr="0B609792">
        <w:rPr>
          <w:rFonts w:ascii="Arial" w:hAnsi="Arial" w:cs="Arial"/>
          <w:sz w:val="20"/>
          <w:szCs w:val="20"/>
        </w:rPr>
        <w:t xml:space="preserve"> </w:t>
      </w:r>
      <w:r w:rsidR="54CBBBB2" w:rsidRPr="0B609792">
        <w:rPr>
          <w:rFonts w:ascii="Arial" w:hAnsi="Arial" w:cs="Arial"/>
          <w:sz w:val="20"/>
          <w:szCs w:val="20"/>
        </w:rPr>
        <w:t xml:space="preserve">En effet, </w:t>
      </w:r>
      <w:r w:rsidR="18A6FF68" w:rsidRPr="0B609792">
        <w:rPr>
          <w:rFonts w:ascii="Arial" w:hAnsi="Arial" w:cs="Arial"/>
          <w:sz w:val="20"/>
          <w:szCs w:val="20"/>
        </w:rPr>
        <w:t xml:space="preserve">pour ce qui concerne certains usages, en particulier </w:t>
      </w:r>
      <w:r w:rsidR="18A6FF68" w:rsidRPr="007F131D">
        <w:rPr>
          <w:rFonts w:ascii="Arial" w:eastAsia="Arial" w:hAnsi="Arial" w:cs="Arial"/>
          <w:sz w:val="20"/>
          <w:szCs w:val="20"/>
        </w:rPr>
        <w:t xml:space="preserve">la mobilité électrique, </w:t>
      </w:r>
      <w:r w:rsidR="211EA1FB" w:rsidRPr="007F131D">
        <w:rPr>
          <w:rFonts w:ascii="Arial" w:eastAsia="Arial" w:hAnsi="Arial" w:cs="Arial"/>
          <w:sz w:val="20"/>
          <w:szCs w:val="20"/>
        </w:rPr>
        <w:t>ce différentiel</w:t>
      </w:r>
      <w:r w:rsidR="54CBBBB2" w:rsidRPr="007F131D">
        <w:rPr>
          <w:rFonts w:ascii="Arial" w:eastAsia="Arial" w:hAnsi="Arial" w:cs="Arial"/>
          <w:sz w:val="20"/>
          <w:szCs w:val="20"/>
        </w:rPr>
        <w:t xml:space="preserve"> </w:t>
      </w:r>
      <w:r w:rsidR="04C13CB3" w:rsidRPr="007F131D">
        <w:rPr>
          <w:rFonts w:ascii="Arial" w:eastAsia="Arial" w:hAnsi="Arial" w:cs="Arial"/>
          <w:sz w:val="20"/>
          <w:szCs w:val="20"/>
        </w:rPr>
        <w:t xml:space="preserve">résulte </w:t>
      </w:r>
      <w:r w:rsidR="00275858">
        <w:rPr>
          <w:rFonts w:ascii="Arial" w:eastAsia="Arial" w:hAnsi="Arial" w:cs="Arial"/>
          <w:sz w:val="20"/>
          <w:szCs w:val="20"/>
        </w:rPr>
        <w:t xml:space="preserve">notamment </w:t>
      </w:r>
      <w:r w:rsidR="04C13CB3" w:rsidRPr="007F131D">
        <w:rPr>
          <w:rFonts w:ascii="Arial" w:eastAsia="Arial" w:hAnsi="Arial" w:cs="Arial"/>
          <w:sz w:val="20"/>
          <w:szCs w:val="20"/>
        </w:rPr>
        <w:t>des</w:t>
      </w:r>
      <w:r w:rsidR="54CBBBB2" w:rsidRPr="007F131D">
        <w:rPr>
          <w:rFonts w:ascii="Arial" w:eastAsia="Arial" w:hAnsi="Arial" w:cs="Arial"/>
          <w:sz w:val="20"/>
          <w:szCs w:val="20"/>
        </w:rPr>
        <w:t xml:space="preserve"> incitations de l’Etat </w:t>
      </w:r>
      <w:r w:rsidR="7BDCA337" w:rsidRPr="007F131D">
        <w:rPr>
          <w:rFonts w:ascii="Arial" w:eastAsia="Arial" w:hAnsi="Arial" w:cs="Arial"/>
          <w:sz w:val="20"/>
          <w:szCs w:val="20"/>
        </w:rPr>
        <w:t xml:space="preserve">(France 2030, plan de relance, </w:t>
      </w:r>
      <w:r w:rsidR="001D3319">
        <w:rPr>
          <w:rFonts w:ascii="Arial" w:eastAsia="Arial" w:hAnsi="Arial" w:cs="Arial"/>
          <w:sz w:val="20"/>
          <w:szCs w:val="20"/>
        </w:rPr>
        <w:t>appels à projets</w:t>
      </w:r>
      <w:r w:rsidR="7BDCA337" w:rsidRPr="007F131D">
        <w:rPr>
          <w:rFonts w:ascii="Arial" w:eastAsia="Arial" w:hAnsi="Arial" w:cs="Arial"/>
          <w:sz w:val="20"/>
          <w:szCs w:val="20"/>
        </w:rPr>
        <w:t xml:space="preserve">...), </w:t>
      </w:r>
      <w:r w:rsidR="54CBBBB2" w:rsidRPr="007F131D">
        <w:rPr>
          <w:rFonts w:ascii="Arial" w:eastAsia="Arial" w:hAnsi="Arial" w:cs="Arial"/>
          <w:sz w:val="20"/>
          <w:szCs w:val="20"/>
        </w:rPr>
        <w:t xml:space="preserve">et </w:t>
      </w:r>
      <w:r w:rsidR="65A638DC" w:rsidRPr="007F131D">
        <w:rPr>
          <w:rFonts w:ascii="Arial" w:eastAsia="Arial" w:hAnsi="Arial" w:cs="Arial"/>
          <w:sz w:val="20"/>
          <w:szCs w:val="20"/>
        </w:rPr>
        <w:t xml:space="preserve">de </w:t>
      </w:r>
      <w:r w:rsidR="54CBBBB2" w:rsidRPr="007F131D">
        <w:rPr>
          <w:rFonts w:ascii="Arial" w:eastAsia="Arial" w:hAnsi="Arial" w:cs="Arial"/>
          <w:sz w:val="20"/>
          <w:szCs w:val="20"/>
        </w:rPr>
        <w:t>la réglementation</w:t>
      </w:r>
      <w:r w:rsidR="1C661120" w:rsidRPr="007F131D">
        <w:rPr>
          <w:rFonts w:ascii="Arial" w:eastAsia="Arial" w:hAnsi="Arial" w:cs="Arial"/>
          <w:sz w:val="20"/>
          <w:szCs w:val="20"/>
        </w:rPr>
        <w:t xml:space="preserve"> </w:t>
      </w:r>
      <w:r w:rsidR="5D5BDDD9" w:rsidRPr="007F131D">
        <w:rPr>
          <w:rFonts w:ascii="Arial" w:eastAsia="Arial" w:hAnsi="Arial" w:cs="Arial"/>
          <w:sz w:val="20"/>
          <w:szCs w:val="20"/>
        </w:rPr>
        <w:t>(</w:t>
      </w:r>
      <w:r w:rsidR="004A7669" w:rsidRPr="004A7669">
        <w:rPr>
          <w:rFonts w:ascii="Arial" w:eastAsia="Arial" w:hAnsi="Arial" w:cs="Arial"/>
          <w:sz w:val="20"/>
          <w:szCs w:val="20"/>
        </w:rPr>
        <w:t xml:space="preserve">règlement AFIR, pour « Alternative Fuels Infrastructure </w:t>
      </w:r>
      <w:proofErr w:type="spellStart"/>
      <w:r w:rsidR="004A7669" w:rsidRPr="004A7669">
        <w:rPr>
          <w:rFonts w:ascii="Arial" w:eastAsia="Arial" w:hAnsi="Arial" w:cs="Arial"/>
          <w:sz w:val="20"/>
          <w:szCs w:val="20"/>
        </w:rPr>
        <w:t>Regulation</w:t>
      </w:r>
      <w:proofErr w:type="spellEnd"/>
      <w:r w:rsidR="004A7669" w:rsidRPr="004A7669">
        <w:rPr>
          <w:rFonts w:ascii="Arial" w:eastAsia="Arial" w:hAnsi="Arial" w:cs="Arial"/>
          <w:sz w:val="20"/>
          <w:szCs w:val="20"/>
        </w:rPr>
        <w:t> »</w:t>
      </w:r>
      <w:r w:rsidR="5D5BDDD9" w:rsidRPr="007F131D">
        <w:rPr>
          <w:rFonts w:ascii="Arial" w:eastAsia="Arial" w:hAnsi="Arial" w:cs="Arial"/>
          <w:sz w:val="20"/>
          <w:szCs w:val="20"/>
        </w:rPr>
        <w:t>)</w:t>
      </w:r>
      <w:r w:rsidR="007F131D">
        <w:rPr>
          <w:rFonts w:ascii="Arial" w:eastAsia="Arial" w:hAnsi="Arial" w:cs="Arial"/>
          <w:sz w:val="20"/>
          <w:szCs w:val="20"/>
        </w:rPr>
        <w:t> </w:t>
      </w:r>
      <w:r w:rsidR="1C661120" w:rsidRPr="007F131D">
        <w:rPr>
          <w:rFonts w:ascii="Arial" w:eastAsia="Arial" w:hAnsi="Arial" w:cs="Arial"/>
          <w:sz w:val="20"/>
          <w:szCs w:val="20"/>
        </w:rPr>
        <w:t>:</w:t>
      </w:r>
      <w:r w:rsidR="69223A1F" w:rsidRPr="007F131D">
        <w:rPr>
          <w:rFonts w:ascii="Arial" w:eastAsia="Arial" w:hAnsi="Arial" w:cs="Arial"/>
          <w:sz w:val="20"/>
          <w:szCs w:val="20"/>
        </w:rPr>
        <w:t xml:space="preserve"> </w:t>
      </w:r>
      <w:r w:rsidR="1C661120" w:rsidRPr="007F131D">
        <w:rPr>
          <w:rFonts w:ascii="Arial" w:eastAsia="Arial" w:hAnsi="Arial" w:cs="Arial"/>
          <w:sz w:val="20"/>
          <w:szCs w:val="20"/>
        </w:rPr>
        <w:t xml:space="preserve">les opérateurs </w:t>
      </w:r>
      <w:r w:rsidR="00E70735">
        <w:rPr>
          <w:rFonts w:ascii="Arial" w:eastAsia="Arial" w:hAnsi="Arial" w:cs="Arial"/>
          <w:sz w:val="20"/>
          <w:szCs w:val="20"/>
        </w:rPr>
        <w:t xml:space="preserve">ont </w:t>
      </w:r>
      <w:r w:rsidR="1C661120" w:rsidRPr="007F131D">
        <w:rPr>
          <w:rFonts w:ascii="Arial" w:eastAsia="Arial" w:hAnsi="Arial" w:cs="Arial"/>
          <w:sz w:val="20"/>
          <w:szCs w:val="20"/>
        </w:rPr>
        <w:t xml:space="preserve">répondu aux sollicitations de l’Etat qui, via différents dispositifs, </w:t>
      </w:r>
      <w:r w:rsidR="4C08E0FC" w:rsidRPr="007F131D">
        <w:rPr>
          <w:rFonts w:ascii="Arial" w:eastAsia="Arial" w:hAnsi="Arial" w:cs="Arial"/>
          <w:sz w:val="20"/>
          <w:szCs w:val="20"/>
        </w:rPr>
        <w:t xml:space="preserve">les </w:t>
      </w:r>
      <w:r w:rsidR="1C661120" w:rsidRPr="007F131D">
        <w:rPr>
          <w:rFonts w:ascii="Arial" w:eastAsia="Arial" w:hAnsi="Arial" w:cs="Arial"/>
          <w:sz w:val="20"/>
          <w:szCs w:val="20"/>
        </w:rPr>
        <w:t>a incité</w:t>
      </w:r>
      <w:r w:rsidR="3877D0DF" w:rsidRPr="007F131D">
        <w:rPr>
          <w:rFonts w:ascii="Arial" w:eastAsia="Arial" w:hAnsi="Arial" w:cs="Arial"/>
          <w:sz w:val="20"/>
          <w:szCs w:val="20"/>
        </w:rPr>
        <w:t>s</w:t>
      </w:r>
      <w:r w:rsidR="1C661120" w:rsidRPr="007F131D">
        <w:rPr>
          <w:rFonts w:ascii="Arial" w:eastAsia="Arial" w:hAnsi="Arial" w:cs="Arial"/>
          <w:sz w:val="20"/>
          <w:szCs w:val="20"/>
        </w:rPr>
        <w:t xml:space="preserve"> à anticiper le dimensionnement de leurs stations pour des besoins croissants dans les 15 à 20 prochaines années</w:t>
      </w:r>
      <w:r w:rsidR="1315ABF2" w:rsidRPr="007F131D">
        <w:rPr>
          <w:rFonts w:ascii="Arial" w:eastAsia="Arial" w:hAnsi="Arial" w:cs="Arial"/>
          <w:sz w:val="20"/>
          <w:szCs w:val="20"/>
        </w:rPr>
        <w:t>.</w:t>
      </w:r>
      <w:r w:rsidR="482B2C76" w:rsidRPr="007F131D">
        <w:rPr>
          <w:rFonts w:ascii="Arial" w:eastAsia="Arial" w:hAnsi="Arial" w:cs="Arial"/>
          <w:sz w:val="20"/>
          <w:szCs w:val="20"/>
        </w:rPr>
        <w:t xml:space="preserve"> </w:t>
      </w:r>
      <w:r w:rsidR="14D60968" w:rsidRPr="007F131D">
        <w:rPr>
          <w:rFonts w:ascii="Arial" w:eastAsia="Arial" w:hAnsi="Arial" w:cs="Arial"/>
          <w:sz w:val="20"/>
          <w:szCs w:val="20"/>
        </w:rPr>
        <w:t>Si les préconisations de la CRE devaient être appliquées</w:t>
      </w:r>
      <w:r w:rsidR="0067773B">
        <w:rPr>
          <w:rFonts w:ascii="Arial" w:eastAsia="Arial" w:hAnsi="Arial" w:cs="Arial"/>
          <w:sz w:val="20"/>
          <w:szCs w:val="20"/>
        </w:rPr>
        <w:t xml:space="preserve"> telles que</w:t>
      </w:r>
      <w:r w:rsidR="14D60968" w:rsidRPr="007F131D">
        <w:rPr>
          <w:rFonts w:ascii="Arial" w:eastAsia="Arial" w:hAnsi="Arial" w:cs="Arial"/>
          <w:sz w:val="20"/>
          <w:szCs w:val="20"/>
        </w:rPr>
        <w:t xml:space="preserve"> pour les </w:t>
      </w:r>
      <w:r w:rsidR="0067773B">
        <w:rPr>
          <w:rFonts w:ascii="Arial" w:eastAsia="Arial" w:hAnsi="Arial" w:cs="Arial"/>
          <w:sz w:val="20"/>
          <w:szCs w:val="20"/>
        </w:rPr>
        <w:t>infrastruc</w:t>
      </w:r>
      <w:r w:rsidR="00427553">
        <w:rPr>
          <w:rFonts w:ascii="Arial" w:eastAsia="Arial" w:hAnsi="Arial" w:cs="Arial"/>
          <w:sz w:val="20"/>
          <w:szCs w:val="20"/>
        </w:rPr>
        <w:t>tur</w:t>
      </w:r>
      <w:r w:rsidR="14D60968" w:rsidRPr="007F131D">
        <w:rPr>
          <w:rFonts w:ascii="Arial" w:eastAsia="Arial" w:hAnsi="Arial" w:cs="Arial"/>
          <w:sz w:val="20"/>
          <w:szCs w:val="20"/>
        </w:rPr>
        <w:t xml:space="preserve">es de recharge, pour lesquelles la puissance appelée peut être faible les premières années d’exploitation, </w:t>
      </w:r>
      <w:r w:rsidR="6A50B67F" w:rsidRPr="007F131D">
        <w:rPr>
          <w:rFonts w:ascii="Arial" w:eastAsia="Arial" w:hAnsi="Arial" w:cs="Arial"/>
          <w:sz w:val="20"/>
          <w:szCs w:val="20"/>
        </w:rPr>
        <w:t xml:space="preserve">elles viendraient en contradiction avec les objectifs de transition fixés par l’Etat et mettraient en péril les investissements réalisés par les opérateurs. </w:t>
      </w:r>
    </w:p>
    <w:p w14:paraId="07E4152F" w14:textId="35F29538" w:rsidR="00AB169A" w:rsidRPr="00CC4FDD" w:rsidRDefault="00AB169A" w:rsidP="00110E9C">
      <w:pPr>
        <w:jc w:val="both"/>
        <w:rPr>
          <w:rFonts w:ascii="Arial" w:hAnsi="Arial" w:cs="Arial"/>
          <w:sz w:val="20"/>
          <w:szCs w:val="20"/>
        </w:rPr>
      </w:pPr>
    </w:p>
    <w:p w14:paraId="282C1A12" w14:textId="53A87867" w:rsidR="00332B46" w:rsidRPr="00CB4B0A" w:rsidRDefault="003A7E5F" w:rsidP="00160F9D">
      <w:pPr>
        <w:jc w:val="both"/>
        <w:rPr>
          <w:rFonts w:ascii="Arial" w:hAnsi="Arial" w:cs="Arial"/>
          <w:sz w:val="20"/>
          <w:szCs w:val="20"/>
        </w:rPr>
      </w:pPr>
      <w:r w:rsidRPr="00CB4B0A">
        <w:rPr>
          <w:rFonts w:ascii="Arial" w:hAnsi="Arial" w:cs="Arial"/>
          <w:sz w:val="20"/>
          <w:szCs w:val="20"/>
        </w:rPr>
        <w:t>S’agissant du périmètre d’application</w:t>
      </w:r>
      <w:r w:rsidR="00F67758" w:rsidRPr="00CB4B0A">
        <w:rPr>
          <w:rFonts w:ascii="Arial" w:hAnsi="Arial" w:cs="Arial"/>
          <w:sz w:val="20"/>
          <w:szCs w:val="20"/>
        </w:rPr>
        <w:t>,</w:t>
      </w:r>
      <w:r w:rsidR="00881BA1" w:rsidRPr="00CB4B0A">
        <w:rPr>
          <w:rFonts w:ascii="Arial" w:hAnsi="Arial" w:cs="Arial"/>
          <w:sz w:val="20"/>
          <w:szCs w:val="20"/>
        </w:rPr>
        <w:t xml:space="preserve"> </w:t>
      </w:r>
      <w:r w:rsidR="00332B46" w:rsidRPr="00CB4B0A">
        <w:rPr>
          <w:rFonts w:ascii="Arial" w:hAnsi="Arial" w:cs="Arial"/>
          <w:sz w:val="20"/>
          <w:szCs w:val="20"/>
        </w:rPr>
        <w:t>EDF</w:t>
      </w:r>
      <w:r w:rsidR="002249FD" w:rsidRPr="00CB4B0A">
        <w:rPr>
          <w:rFonts w:ascii="Arial" w:hAnsi="Arial" w:cs="Arial"/>
          <w:sz w:val="20"/>
          <w:szCs w:val="20"/>
        </w:rPr>
        <w:t>,</w:t>
      </w:r>
      <w:r w:rsidR="00F67758" w:rsidRPr="00CB4B0A">
        <w:rPr>
          <w:rFonts w:ascii="Arial" w:hAnsi="Arial" w:cs="Arial"/>
          <w:sz w:val="20"/>
          <w:szCs w:val="20"/>
        </w:rPr>
        <w:t xml:space="preserve"> tout en comprenant</w:t>
      </w:r>
      <w:r w:rsidR="00332B46" w:rsidRPr="00CB4B0A">
        <w:rPr>
          <w:rFonts w:ascii="Arial" w:hAnsi="Arial" w:cs="Arial"/>
          <w:sz w:val="20"/>
          <w:szCs w:val="20"/>
        </w:rPr>
        <w:t xml:space="preserve"> l’intérêt de la démarche</w:t>
      </w:r>
      <w:r w:rsidR="00F67758" w:rsidRPr="00CB4B0A">
        <w:rPr>
          <w:rFonts w:ascii="Arial" w:hAnsi="Arial" w:cs="Arial"/>
          <w:sz w:val="20"/>
          <w:szCs w:val="20"/>
        </w:rPr>
        <w:t xml:space="preserve">, s’interroge sur son application </w:t>
      </w:r>
      <w:r w:rsidR="0087267F" w:rsidRPr="00CB4B0A">
        <w:rPr>
          <w:rFonts w:ascii="Arial" w:hAnsi="Arial" w:cs="Arial"/>
          <w:sz w:val="20"/>
          <w:szCs w:val="20"/>
        </w:rPr>
        <w:t xml:space="preserve">immédiate dans les zones insulaires </w:t>
      </w:r>
      <w:r w:rsidR="00613231" w:rsidRPr="00CB4B0A">
        <w:rPr>
          <w:rFonts w:ascii="Arial" w:hAnsi="Arial" w:cs="Arial"/>
          <w:sz w:val="20"/>
          <w:szCs w:val="20"/>
        </w:rPr>
        <w:t>où les</w:t>
      </w:r>
      <w:r w:rsidR="00332B46" w:rsidRPr="00CB4B0A">
        <w:rPr>
          <w:rFonts w:ascii="Arial" w:hAnsi="Arial" w:cs="Arial"/>
          <w:sz w:val="20"/>
          <w:szCs w:val="20"/>
        </w:rPr>
        <w:t xml:space="preserve"> consommateurs HTA sont peu nombreux</w:t>
      </w:r>
      <w:r w:rsidR="007E0D15" w:rsidRPr="00CB4B0A">
        <w:rPr>
          <w:rFonts w:ascii="Arial" w:hAnsi="Arial" w:cs="Arial"/>
          <w:sz w:val="20"/>
          <w:szCs w:val="20"/>
        </w:rPr>
        <w:t xml:space="preserve">, </w:t>
      </w:r>
      <w:r w:rsidR="00332B46" w:rsidRPr="00CB4B0A">
        <w:rPr>
          <w:rFonts w:ascii="Arial" w:hAnsi="Arial" w:cs="Arial"/>
          <w:sz w:val="20"/>
          <w:szCs w:val="20"/>
        </w:rPr>
        <w:lastRenderedPageBreak/>
        <w:t>leur développement limité</w:t>
      </w:r>
      <w:r w:rsidR="007E0D15" w:rsidRPr="00CB4B0A">
        <w:rPr>
          <w:rFonts w:ascii="Arial" w:hAnsi="Arial" w:cs="Arial"/>
          <w:sz w:val="20"/>
          <w:szCs w:val="20"/>
        </w:rPr>
        <w:t xml:space="preserve">, et où il n’est pas observé </w:t>
      </w:r>
      <w:r w:rsidR="00332B46" w:rsidRPr="00CB4B0A">
        <w:rPr>
          <w:rFonts w:ascii="Arial" w:hAnsi="Arial" w:cs="Arial"/>
          <w:sz w:val="20"/>
          <w:szCs w:val="20"/>
        </w:rPr>
        <w:t>de situation d’engorgement côté consommateurs raccordés en HTA.</w:t>
      </w:r>
    </w:p>
    <w:p w14:paraId="00B6F410" w14:textId="24924040" w:rsidR="00B67CA0" w:rsidRPr="00CB4B0A" w:rsidRDefault="00D76986" w:rsidP="00160F9D">
      <w:pPr>
        <w:jc w:val="both"/>
        <w:rPr>
          <w:rFonts w:ascii="Arial" w:hAnsi="Arial" w:cs="Arial"/>
          <w:sz w:val="20"/>
          <w:szCs w:val="20"/>
        </w:rPr>
      </w:pPr>
      <w:r w:rsidRPr="00CB4B0A">
        <w:rPr>
          <w:rFonts w:ascii="Arial" w:hAnsi="Arial" w:cs="Arial"/>
          <w:sz w:val="20"/>
          <w:szCs w:val="20"/>
        </w:rPr>
        <w:t>L’application du dispositif dans les ZNI aura par ailleurs</w:t>
      </w:r>
      <w:r w:rsidR="00B67CA0" w:rsidRPr="00CB4B0A">
        <w:rPr>
          <w:rFonts w:ascii="Arial" w:hAnsi="Arial" w:cs="Arial"/>
          <w:sz w:val="20"/>
          <w:szCs w:val="20"/>
        </w:rPr>
        <w:t xml:space="preserve"> des impacts opérationnels </w:t>
      </w:r>
      <w:r w:rsidR="00C17A4C" w:rsidRPr="00CB4B0A">
        <w:rPr>
          <w:rFonts w:ascii="Arial" w:hAnsi="Arial" w:cs="Arial"/>
          <w:sz w:val="20"/>
          <w:szCs w:val="20"/>
        </w:rPr>
        <w:t xml:space="preserve">particuliers </w:t>
      </w:r>
      <w:r w:rsidR="00B67CA0" w:rsidRPr="00CB4B0A">
        <w:rPr>
          <w:rFonts w:ascii="Arial" w:hAnsi="Arial" w:cs="Arial"/>
          <w:sz w:val="20"/>
          <w:szCs w:val="20"/>
        </w:rPr>
        <w:t>relatifs aux contrats de fourniture puisque les TRV Vert qui</w:t>
      </w:r>
      <w:r w:rsidR="00C17A4C" w:rsidRPr="00CB4B0A">
        <w:rPr>
          <w:rFonts w:ascii="Arial" w:hAnsi="Arial" w:cs="Arial"/>
          <w:sz w:val="20"/>
          <w:szCs w:val="20"/>
        </w:rPr>
        <w:t xml:space="preserve"> y</w:t>
      </w:r>
      <w:r w:rsidR="00B67CA0" w:rsidRPr="00CB4B0A">
        <w:rPr>
          <w:rFonts w:ascii="Arial" w:hAnsi="Arial" w:cs="Arial"/>
          <w:sz w:val="20"/>
          <w:szCs w:val="20"/>
        </w:rPr>
        <w:t xml:space="preserve"> restent en vigueur sont des contrats intégrés (il n’existe pas de CARD-s en ZNI).</w:t>
      </w:r>
    </w:p>
    <w:p w14:paraId="3EF0DF49" w14:textId="3CF0A363" w:rsidR="00332B46" w:rsidRPr="00CB4B0A" w:rsidRDefault="002249FD" w:rsidP="00160F9D">
      <w:pPr>
        <w:jc w:val="both"/>
        <w:rPr>
          <w:rFonts w:ascii="Arial" w:hAnsi="Arial" w:cs="Arial"/>
          <w:sz w:val="20"/>
          <w:szCs w:val="20"/>
        </w:rPr>
      </w:pPr>
      <w:r w:rsidRPr="00CB4B0A">
        <w:rPr>
          <w:rFonts w:ascii="Arial" w:hAnsi="Arial" w:cs="Arial"/>
          <w:sz w:val="20"/>
          <w:szCs w:val="20"/>
        </w:rPr>
        <w:t xml:space="preserve">C’est pourquoi il est proposé de </w:t>
      </w:r>
      <w:r w:rsidR="00167317" w:rsidRPr="00CB4B0A">
        <w:rPr>
          <w:rFonts w:ascii="Arial" w:hAnsi="Arial" w:cs="Arial"/>
          <w:sz w:val="20"/>
          <w:szCs w:val="20"/>
        </w:rPr>
        <w:t xml:space="preserve">différer, dans les ZNI, l’application de ces dispositions au </w:t>
      </w:r>
      <w:r w:rsidR="00332B46" w:rsidRPr="00CB4B0A">
        <w:rPr>
          <w:rFonts w:ascii="Arial" w:hAnsi="Arial" w:cs="Arial"/>
          <w:sz w:val="20"/>
          <w:szCs w:val="20"/>
        </w:rPr>
        <w:t xml:space="preserve">jour où elles </w:t>
      </w:r>
      <w:r w:rsidR="00A77EA4" w:rsidRPr="00CB4B0A">
        <w:rPr>
          <w:rFonts w:ascii="Arial" w:hAnsi="Arial" w:cs="Arial"/>
          <w:sz w:val="20"/>
          <w:szCs w:val="20"/>
        </w:rPr>
        <w:t>apparaîtront nécessaires</w:t>
      </w:r>
      <w:r w:rsidR="00332B46" w:rsidRPr="00CB4B0A">
        <w:rPr>
          <w:rFonts w:ascii="Arial" w:hAnsi="Arial" w:cs="Arial"/>
          <w:sz w:val="20"/>
          <w:szCs w:val="20"/>
        </w:rPr>
        <w:t>. L’envoi d’indicateurs annuel à la CRE sur le nombre de nouvelles demandes et d’augmentation de puissance de raccordement des consommateurs HTA permettrait de suivre la dynamique de raccordement sur ce segment de client et de décider de la mise en application du dispositif le jour où il serait pertinent en ZNI.</w:t>
      </w:r>
    </w:p>
    <w:p w14:paraId="6B91FE62" w14:textId="77777777" w:rsidR="00CC4FDD" w:rsidRDefault="00CC4FDD" w:rsidP="00CC4FDD">
      <w:pPr>
        <w:autoSpaceDE w:val="0"/>
        <w:autoSpaceDN w:val="0"/>
        <w:adjustRightInd w:val="0"/>
        <w:spacing w:after="0" w:line="240" w:lineRule="auto"/>
        <w:rPr>
          <w:rFonts w:ascii="Arial" w:hAnsi="Arial" w:cs="Arial"/>
          <w:b/>
          <w:bCs/>
          <w:sz w:val="20"/>
          <w:szCs w:val="20"/>
        </w:rPr>
      </w:pPr>
    </w:p>
    <w:p w14:paraId="4AFBC0EF" w14:textId="77777777"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1 : Etes-vous favorable aux hypothèses de la CRE concernant les catégories d’installation soumises au dispositif (installations raccordées en HTA et HTB) ?</w:t>
      </w:r>
    </w:p>
    <w:p w14:paraId="3BB0F405" w14:textId="77777777" w:rsidR="00300349" w:rsidRDefault="00B97E13" w:rsidP="3750E162">
      <w:pPr>
        <w:jc w:val="both"/>
        <w:rPr>
          <w:rFonts w:ascii="Arial" w:hAnsi="Arial" w:cs="Arial"/>
          <w:sz w:val="20"/>
          <w:szCs w:val="20"/>
        </w:rPr>
      </w:pPr>
      <w:r>
        <w:rPr>
          <w:rFonts w:ascii="Arial" w:hAnsi="Arial" w:cs="Arial"/>
          <w:sz w:val="20"/>
          <w:szCs w:val="20"/>
        </w:rPr>
        <w:t xml:space="preserve">EDF </w:t>
      </w:r>
      <w:r w:rsidR="00300349">
        <w:rPr>
          <w:rFonts w:ascii="Arial" w:hAnsi="Arial" w:cs="Arial"/>
          <w:sz w:val="20"/>
          <w:szCs w:val="20"/>
        </w:rPr>
        <w:t>juge, comme la CRE, qu’il est inutile que le dispositif proposé s’applique aux clients raccordés en basse tension.</w:t>
      </w:r>
    </w:p>
    <w:p w14:paraId="5A06AE13" w14:textId="00803390" w:rsidR="6565DB02" w:rsidRPr="0069602F" w:rsidRDefault="00606665" w:rsidP="3750E162">
      <w:pPr>
        <w:jc w:val="both"/>
        <w:rPr>
          <w:rFonts w:ascii="Arial" w:hAnsi="Arial" w:cs="Arial"/>
          <w:sz w:val="20"/>
          <w:szCs w:val="20"/>
        </w:rPr>
      </w:pPr>
      <w:r w:rsidRPr="13B1DB59">
        <w:rPr>
          <w:rFonts w:ascii="Arial" w:hAnsi="Arial" w:cs="Arial"/>
          <w:sz w:val="20"/>
          <w:szCs w:val="20"/>
        </w:rPr>
        <w:t xml:space="preserve">S’agissant des clients HTA et </w:t>
      </w:r>
      <w:r w:rsidR="4CA7E17D" w:rsidRPr="13B1DB59">
        <w:rPr>
          <w:rFonts w:ascii="Arial" w:hAnsi="Arial" w:cs="Arial"/>
          <w:sz w:val="20"/>
          <w:szCs w:val="20"/>
        </w:rPr>
        <w:t xml:space="preserve">HTB, </w:t>
      </w:r>
      <w:r w:rsidR="00280104" w:rsidRPr="13B1DB59">
        <w:rPr>
          <w:rFonts w:ascii="Arial" w:hAnsi="Arial" w:cs="Arial"/>
          <w:sz w:val="20"/>
          <w:szCs w:val="20"/>
        </w:rPr>
        <w:t>et sous réserve de notre bonne compréhension</w:t>
      </w:r>
      <w:r w:rsidR="00F55C77" w:rsidRPr="13B1DB59">
        <w:rPr>
          <w:rFonts w:ascii="Arial" w:hAnsi="Arial" w:cs="Arial"/>
          <w:sz w:val="20"/>
          <w:szCs w:val="20"/>
        </w:rPr>
        <w:t xml:space="preserve"> de la gestion des raccordements dédiés au secours, </w:t>
      </w:r>
      <w:r w:rsidR="6565DB02" w:rsidRPr="13B1DB59">
        <w:rPr>
          <w:rFonts w:ascii="Arial" w:hAnsi="Arial" w:cs="Arial"/>
          <w:sz w:val="20"/>
          <w:szCs w:val="20"/>
        </w:rPr>
        <w:t xml:space="preserve">EDF </w:t>
      </w:r>
      <w:r w:rsidR="00B724F8" w:rsidRPr="13B1DB59">
        <w:rPr>
          <w:rFonts w:ascii="Arial" w:hAnsi="Arial" w:cs="Arial"/>
          <w:sz w:val="20"/>
          <w:szCs w:val="20"/>
        </w:rPr>
        <w:t xml:space="preserve">souhaite une exonération générale </w:t>
      </w:r>
      <w:r w:rsidR="00FE294C" w:rsidRPr="13B1DB59">
        <w:rPr>
          <w:rFonts w:ascii="Arial" w:hAnsi="Arial" w:cs="Arial"/>
          <w:sz w:val="20"/>
          <w:szCs w:val="20"/>
        </w:rPr>
        <w:t xml:space="preserve">des raccordements dédiés </w:t>
      </w:r>
      <w:r w:rsidR="00EA4B68" w:rsidRPr="13B1DB59">
        <w:rPr>
          <w:rFonts w:ascii="Arial" w:hAnsi="Arial" w:cs="Arial"/>
          <w:sz w:val="20"/>
          <w:szCs w:val="20"/>
        </w:rPr>
        <w:t>à la sécurité</w:t>
      </w:r>
      <w:r w:rsidR="12045297" w:rsidRPr="13B1DB59">
        <w:rPr>
          <w:rFonts w:ascii="Arial" w:hAnsi="Arial" w:cs="Arial"/>
          <w:sz w:val="20"/>
          <w:szCs w:val="20"/>
        </w:rPr>
        <w:t xml:space="preserve"> du système électrique</w:t>
      </w:r>
      <w:r w:rsidR="39F61EA4" w:rsidRPr="13B1DB59">
        <w:rPr>
          <w:rFonts w:ascii="Arial" w:hAnsi="Arial" w:cs="Arial"/>
          <w:sz w:val="20"/>
          <w:szCs w:val="20"/>
        </w:rPr>
        <w:t xml:space="preserve"> ou à la sûreté nucléaire</w:t>
      </w:r>
      <w:r w:rsidR="00EA4B68" w:rsidRPr="13B1DB59">
        <w:rPr>
          <w:rFonts w:ascii="Arial" w:hAnsi="Arial" w:cs="Arial"/>
          <w:sz w:val="20"/>
          <w:szCs w:val="20"/>
        </w:rPr>
        <w:t>.</w:t>
      </w:r>
      <w:r w:rsidR="00002EF8" w:rsidRPr="13B1DB59">
        <w:rPr>
          <w:rFonts w:ascii="Arial" w:hAnsi="Arial" w:cs="Arial"/>
          <w:sz w:val="20"/>
          <w:szCs w:val="20"/>
        </w:rPr>
        <w:t xml:space="preserve"> </w:t>
      </w:r>
      <w:r w:rsidR="00B542E3" w:rsidRPr="13B1DB59">
        <w:rPr>
          <w:rFonts w:ascii="Arial" w:hAnsi="Arial" w:cs="Arial"/>
          <w:sz w:val="20"/>
          <w:szCs w:val="20"/>
        </w:rPr>
        <w:t>Il nous paraît également souhaitable que, dans le cas des équipe</w:t>
      </w:r>
      <w:r w:rsidR="00A80277" w:rsidRPr="13B1DB59">
        <w:rPr>
          <w:rFonts w:ascii="Arial" w:hAnsi="Arial" w:cs="Arial"/>
          <w:sz w:val="20"/>
          <w:szCs w:val="20"/>
        </w:rPr>
        <w:t xml:space="preserve">ments dédiés à la flexibilité, comme les STEP, </w:t>
      </w:r>
      <w:r w:rsidR="00BB62C3" w:rsidRPr="13B1DB59">
        <w:rPr>
          <w:rFonts w:ascii="Arial" w:hAnsi="Arial" w:cs="Arial"/>
          <w:sz w:val="20"/>
          <w:szCs w:val="20"/>
        </w:rPr>
        <w:t xml:space="preserve">pour lesquels la puissance appelée </w:t>
      </w:r>
      <w:proofErr w:type="gramStart"/>
      <w:r w:rsidR="00BB62C3" w:rsidRPr="13B1DB59">
        <w:rPr>
          <w:rFonts w:ascii="Arial" w:hAnsi="Arial" w:cs="Arial"/>
          <w:sz w:val="20"/>
          <w:szCs w:val="20"/>
        </w:rPr>
        <w:t>peut être</w:t>
      </w:r>
      <w:proofErr w:type="gramEnd"/>
      <w:r w:rsidR="00BB62C3" w:rsidRPr="13B1DB59">
        <w:rPr>
          <w:rFonts w:ascii="Arial" w:hAnsi="Arial" w:cs="Arial"/>
          <w:sz w:val="20"/>
          <w:szCs w:val="20"/>
        </w:rPr>
        <w:t xml:space="preserve"> très var</w:t>
      </w:r>
      <w:r w:rsidR="003E5E0B" w:rsidRPr="13B1DB59">
        <w:rPr>
          <w:rFonts w:ascii="Arial" w:hAnsi="Arial" w:cs="Arial"/>
          <w:sz w:val="20"/>
          <w:szCs w:val="20"/>
        </w:rPr>
        <w:t xml:space="preserve">iable, et très basse sur de longues durées, </w:t>
      </w:r>
      <w:r w:rsidR="00DB6B4F" w:rsidRPr="13B1DB59">
        <w:rPr>
          <w:rFonts w:ascii="Arial" w:hAnsi="Arial" w:cs="Arial"/>
          <w:sz w:val="20"/>
          <w:szCs w:val="20"/>
        </w:rPr>
        <w:t>la puissance</w:t>
      </w:r>
      <w:r w:rsidR="00A80277" w:rsidRPr="13B1DB59">
        <w:rPr>
          <w:rFonts w:ascii="Arial" w:hAnsi="Arial" w:cs="Arial"/>
          <w:sz w:val="20"/>
          <w:szCs w:val="20"/>
        </w:rPr>
        <w:t xml:space="preserve"> de raccordement </w:t>
      </w:r>
      <w:r w:rsidR="003E5E0B" w:rsidRPr="13B1DB59">
        <w:rPr>
          <w:rFonts w:ascii="Arial" w:hAnsi="Arial" w:cs="Arial"/>
          <w:sz w:val="20"/>
          <w:szCs w:val="20"/>
        </w:rPr>
        <w:t xml:space="preserve">ne puisse </w:t>
      </w:r>
      <w:r w:rsidR="00AE3EC9" w:rsidRPr="13B1DB59">
        <w:rPr>
          <w:rFonts w:ascii="Arial" w:hAnsi="Arial" w:cs="Arial"/>
          <w:sz w:val="20"/>
          <w:szCs w:val="20"/>
        </w:rPr>
        <w:t xml:space="preserve">tomber en dessous de la puissance </w:t>
      </w:r>
      <w:r w:rsidR="0079124C" w:rsidRPr="13B1DB59">
        <w:rPr>
          <w:rFonts w:ascii="Arial" w:hAnsi="Arial" w:cs="Arial"/>
          <w:sz w:val="20"/>
          <w:szCs w:val="20"/>
        </w:rPr>
        <w:t xml:space="preserve">maximale </w:t>
      </w:r>
      <w:r w:rsidR="00931B77" w:rsidRPr="13B1DB59">
        <w:rPr>
          <w:rFonts w:ascii="Arial" w:hAnsi="Arial" w:cs="Arial"/>
          <w:sz w:val="20"/>
          <w:szCs w:val="20"/>
        </w:rPr>
        <w:t>susceptible d’être soutirée</w:t>
      </w:r>
      <w:r w:rsidR="0079124C" w:rsidRPr="13B1DB59">
        <w:rPr>
          <w:rFonts w:ascii="Arial" w:hAnsi="Arial" w:cs="Arial"/>
          <w:sz w:val="20"/>
          <w:szCs w:val="20"/>
        </w:rPr>
        <w:t xml:space="preserve"> </w:t>
      </w:r>
      <w:r w:rsidR="001A1647" w:rsidRPr="13B1DB59">
        <w:rPr>
          <w:rFonts w:ascii="Arial" w:hAnsi="Arial" w:cs="Arial"/>
          <w:sz w:val="20"/>
          <w:szCs w:val="20"/>
        </w:rPr>
        <w:t>(</w:t>
      </w:r>
      <w:r w:rsidR="001A1647" w:rsidRPr="007F131D">
        <w:rPr>
          <w:rFonts w:ascii="Arial" w:hAnsi="Arial" w:cs="Arial"/>
          <w:i/>
          <w:iCs/>
          <w:sz w:val="20"/>
          <w:szCs w:val="20"/>
        </w:rPr>
        <w:t>i.e</w:t>
      </w:r>
      <w:r w:rsidR="001A1647" w:rsidRPr="13B1DB59">
        <w:rPr>
          <w:rFonts w:ascii="Arial" w:hAnsi="Arial" w:cs="Arial"/>
          <w:sz w:val="20"/>
          <w:szCs w:val="20"/>
        </w:rPr>
        <w:t>. les pompes dans le cas d’une STEP)</w:t>
      </w:r>
    </w:p>
    <w:p w14:paraId="6553D321" w14:textId="77777777" w:rsidR="002A1200" w:rsidRDefault="002A1200" w:rsidP="3750E162">
      <w:pPr>
        <w:spacing w:after="0"/>
        <w:jc w:val="both"/>
        <w:rPr>
          <w:rFonts w:ascii="Arial" w:eastAsiaTheme="minorEastAsia" w:hAnsi="Arial" w:cs="Arial"/>
          <w:sz w:val="20"/>
          <w:szCs w:val="20"/>
        </w:rPr>
      </w:pPr>
    </w:p>
    <w:p w14:paraId="33E8B4C2" w14:textId="08D09B71" w:rsidR="00293E02" w:rsidRPr="00903ED5" w:rsidRDefault="00E53FD7" w:rsidP="00293E02">
      <w:pPr>
        <w:jc w:val="both"/>
        <w:rPr>
          <w:rFonts w:ascii="Arial" w:hAnsi="Arial" w:cs="Arial"/>
          <w:sz w:val="20"/>
          <w:szCs w:val="20"/>
        </w:rPr>
      </w:pPr>
      <w:r w:rsidRPr="007F131D">
        <w:rPr>
          <w:rFonts w:ascii="Arial" w:hAnsi="Arial" w:cs="Arial"/>
          <w:b/>
          <w:bCs/>
          <w:sz w:val="20"/>
          <w:szCs w:val="20"/>
        </w:rPr>
        <w:t>S’agissant des questions de sécurité</w:t>
      </w:r>
      <w:r>
        <w:rPr>
          <w:rFonts w:ascii="Arial" w:hAnsi="Arial" w:cs="Arial"/>
          <w:sz w:val="20"/>
          <w:szCs w:val="20"/>
        </w:rPr>
        <w:t xml:space="preserve">, </w:t>
      </w:r>
      <w:r w:rsidR="00293E02" w:rsidRPr="00903ED5">
        <w:rPr>
          <w:rFonts w:ascii="Arial" w:hAnsi="Arial" w:cs="Arial"/>
          <w:sz w:val="20"/>
          <w:szCs w:val="20"/>
        </w:rPr>
        <w:t xml:space="preserve">EDF </w:t>
      </w:r>
      <w:r w:rsidR="00085966">
        <w:rPr>
          <w:rFonts w:ascii="Arial" w:hAnsi="Arial" w:cs="Arial"/>
          <w:sz w:val="20"/>
          <w:szCs w:val="20"/>
        </w:rPr>
        <w:t>attire</w:t>
      </w:r>
      <w:r w:rsidR="00293E02" w:rsidRPr="00903ED5">
        <w:rPr>
          <w:rFonts w:ascii="Arial" w:hAnsi="Arial" w:cs="Arial"/>
          <w:sz w:val="20"/>
          <w:szCs w:val="20"/>
        </w:rPr>
        <w:t xml:space="preserve"> l’attention de la CRE sur le cas spécifique </w:t>
      </w:r>
      <w:r w:rsidR="00D23DCE">
        <w:rPr>
          <w:rFonts w:ascii="Arial" w:hAnsi="Arial" w:cs="Arial"/>
          <w:sz w:val="20"/>
          <w:szCs w:val="20"/>
        </w:rPr>
        <w:t>de certaines</w:t>
      </w:r>
      <w:r w:rsidR="00293E02" w:rsidRPr="00903ED5">
        <w:rPr>
          <w:rFonts w:ascii="Arial" w:hAnsi="Arial" w:cs="Arial"/>
          <w:sz w:val="20"/>
          <w:szCs w:val="20"/>
        </w:rPr>
        <w:t xml:space="preserve"> installations de consommation </w:t>
      </w:r>
      <w:r w:rsidR="00660F52">
        <w:rPr>
          <w:rFonts w:ascii="Arial" w:hAnsi="Arial" w:cs="Arial"/>
          <w:sz w:val="20"/>
          <w:szCs w:val="20"/>
        </w:rPr>
        <w:t xml:space="preserve">comme les </w:t>
      </w:r>
      <w:r w:rsidR="00293E02" w:rsidRPr="00903ED5">
        <w:rPr>
          <w:rFonts w:ascii="Arial" w:hAnsi="Arial" w:cs="Arial"/>
          <w:sz w:val="20"/>
          <w:szCs w:val="20"/>
        </w:rPr>
        <w:t>piscines de stockage</w:t>
      </w:r>
      <w:r w:rsidR="00660F52">
        <w:rPr>
          <w:rFonts w:ascii="Arial" w:hAnsi="Arial" w:cs="Arial"/>
          <w:sz w:val="20"/>
          <w:szCs w:val="20"/>
        </w:rPr>
        <w:t xml:space="preserve"> </w:t>
      </w:r>
      <w:r w:rsidR="00293E02" w:rsidRPr="00903ED5">
        <w:rPr>
          <w:rFonts w:ascii="Arial" w:hAnsi="Arial" w:cs="Arial"/>
          <w:sz w:val="20"/>
          <w:szCs w:val="20"/>
        </w:rPr>
        <w:t>pour lesquelles le surdimensionnement des liaisons de raccordement est essentiel à la maîtrise du risque.</w:t>
      </w:r>
    </w:p>
    <w:p w14:paraId="016B5544" w14:textId="77777777" w:rsidR="00293E02" w:rsidRPr="00903ED5" w:rsidRDefault="00293E02" w:rsidP="00293E02">
      <w:pPr>
        <w:jc w:val="both"/>
        <w:rPr>
          <w:rFonts w:ascii="Arial" w:hAnsi="Arial" w:cs="Arial"/>
          <w:sz w:val="20"/>
          <w:szCs w:val="20"/>
        </w:rPr>
      </w:pPr>
      <w:r w:rsidRPr="00903ED5">
        <w:rPr>
          <w:rFonts w:ascii="Arial" w:hAnsi="Arial" w:cs="Arial"/>
          <w:sz w:val="20"/>
          <w:szCs w:val="20"/>
        </w:rPr>
        <w:t>Dans le cas d’une Installation Nucléaire de Base (INB) non productrice d’électricité, le dimensionnement des liaisons électriques externes est réalisé sur la base d’études dans l’ensemble des scénarios : fonctionnement normal, fonctionnement incidentel, fonctionnement accidentel, tout en prenant en compte des conditions climatiques extrêmes et margées.</w:t>
      </w:r>
    </w:p>
    <w:p w14:paraId="1CF8B642" w14:textId="27E6EC32" w:rsidR="00293E02" w:rsidRPr="00903ED5" w:rsidRDefault="00293E02" w:rsidP="00293E02">
      <w:pPr>
        <w:jc w:val="both"/>
        <w:rPr>
          <w:rFonts w:ascii="Arial" w:hAnsi="Arial" w:cs="Arial"/>
          <w:sz w:val="20"/>
          <w:szCs w:val="20"/>
        </w:rPr>
      </w:pPr>
      <w:r w:rsidRPr="09CE1AAE">
        <w:rPr>
          <w:rFonts w:ascii="Arial" w:hAnsi="Arial" w:cs="Arial"/>
          <w:sz w:val="20"/>
          <w:szCs w:val="20"/>
        </w:rPr>
        <w:t xml:space="preserve">Dès lors, le fonctionnement normal et la consommation électrique associée dans la plage de températures extérieures des </w:t>
      </w:r>
      <w:r w:rsidR="00311AD8">
        <w:rPr>
          <w:rFonts w:ascii="Arial" w:hAnsi="Arial" w:cs="Arial"/>
          <w:sz w:val="20"/>
          <w:szCs w:val="20"/>
        </w:rPr>
        <w:t>deux</w:t>
      </w:r>
      <w:r w:rsidRPr="09CE1AAE">
        <w:rPr>
          <w:rFonts w:ascii="Arial" w:hAnsi="Arial" w:cs="Arial"/>
          <w:sz w:val="20"/>
          <w:szCs w:val="20"/>
        </w:rPr>
        <w:t xml:space="preserve"> ou </w:t>
      </w:r>
      <w:r w:rsidR="00311AD8">
        <w:rPr>
          <w:rFonts w:ascii="Arial" w:hAnsi="Arial" w:cs="Arial"/>
          <w:sz w:val="20"/>
          <w:szCs w:val="20"/>
        </w:rPr>
        <w:t>cinq</w:t>
      </w:r>
      <w:r w:rsidRPr="09CE1AAE">
        <w:rPr>
          <w:rFonts w:ascii="Arial" w:hAnsi="Arial" w:cs="Arial"/>
          <w:sz w:val="20"/>
          <w:szCs w:val="20"/>
        </w:rPr>
        <w:t xml:space="preserve"> dernières années ne sont pas représentatifs de la puissance maximale potentiellement nécessaire pour traiter un incident ou accident dans des conditions climatiques extrêmes</w:t>
      </w:r>
      <w:r w:rsidR="0055450B">
        <w:rPr>
          <w:rFonts w:ascii="Arial" w:hAnsi="Arial" w:cs="Arial"/>
          <w:sz w:val="20"/>
          <w:szCs w:val="20"/>
        </w:rPr>
        <w:t xml:space="preserve"> ; c’est </w:t>
      </w:r>
      <w:r w:rsidR="003B346F">
        <w:rPr>
          <w:rFonts w:ascii="Arial" w:hAnsi="Arial" w:cs="Arial"/>
          <w:sz w:val="20"/>
          <w:szCs w:val="20"/>
        </w:rPr>
        <w:t xml:space="preserve">toute </w:t>
      </w:r>
      <w:r w:rsidRPr="00903ED5">
        <w:rPr>
          <w:rFonts w:ascii="Arial" w:hAnsi="Arial" w:cs="Arial"/>
          <w:sz w:val="20"/>
          <w:szCs w:val="20"/>
        </w:rPr>
        <w:t xml:space="preserve">la puissance de raccordement (même si elle est supérieure à la puissance de soutirage maximale des X dernières années) </w:t>
      </w:r>
      <w:r w:rsidR="003B346F">
        <w:rPr>
          <w:rFonts w:ascii="Arial" w:hAnsi="Arial" w:cs="Arial"/>
          <w:sz w:val="20"/>
          <w:szCs w:val="20"/>
        </w:rPr>
        <w:t xml:space="preserve">qui doit être </w:t>
      </w:r>
      <w:r w:rsidRPr="00903ED5">
        <w:rPr>
          <w:rFonts w:ascii="Arial" w:hAnsi="Arial" w:cs="Arial"/>
          <w:sz w:val="20"/>
          <w:szCs w:val="20"/>
        </w:rPr>
        <w:t>disponible à tout instant.</w:t>
      </w:r>
    </w:p>
    <w:p w14:paraId="0C74CE12" w14:textId="5F4C0C47" w:rsidR="00293E02" w:rsidRDefault="00293E02" w:rsidP="00C617F6">
      <w:pPr>
        <w:jc w:val="both"/>
        <w:rPr>
          <w:rFonts w:ascii="Arial" w:hAnsi="Arial" w:cs="Arial"/>
          <w:sz w:val="20"/>
          <w:szCs w:val="20"/>
        </w:rPr>
      </w:pPr>
      <w:r w:rsidRPr="00903ED5">
        <w:rPr>
          <w:rFonts w:ascii="Arial" w:hAnsi="Arial" w:cs="Arial"/>
          <w:sz w:val="20"/>
          <w:szCs w:val="20"/>
        </w:rPr>
        <w:t xml:space="preserve">EDF </w:t>
      </w:r>
      <w:r w:rsidR="00837F90">
        <w:rPr>
          <w:rFonts w:ascii="Arial" w:hAnsi="Arial" w:cs="Arial"/>
          <w:sz w:val="20"/>
          <w:szCs w:val="20"/>
        </w:rPr>
        <w:t xml:space="preserve">demande donc </w:t>
      </w:r>
      <w:r w:rsidR="00C05F33">
        <w:rPr>
          <w:rFonts w:ascii="Arial" w:hAnsi="Arial" w:cs="Arial"/>
          <w:sz w:val="20"/>
          <w:szCs w:val="20"/>
        </w:rPr>
        <w:t xml:space="preserve">que les installations de ce type soient exclues du </w:t>
      </w:r>
      <w:r w:rsidRPr="00903ED5">
        <w:rPr>
          <w:rFonts w:ascii="Arial" w:hAnsi="Arial" w:cs="Arial"/>
          <w:sz w:val="20"/>
          <w:szCs w:val="20"/>
        </w:rPr>
        <w:t xml:space="preserve">périmètre </w:t>
      </w:r>
      <w:r w:rsidR="00675790">
        <w:rPr>
          <w:rFonts w:ascii="Arial" w:hAnsi="Arial" w:cs="Arial"/>
          <w:sz w:val="20"/>
          <w:szCs w:val="20"/>
        </w:rPr>
        <w:t xml:space="preserve">des installations pouvant faire l’objet </w:t>
      </w:r>
      <w:r w:rsidRPr="00903ED5">
        <w:rPr>
          <w:rFonts w:ascii="Arial" w:hAnsi="Arial" w:cs="Arial"/>
          <w:sz w:val="20"/>
          <w:szCs w:val="20"/>
        </w:rPr>
        <w:t>des modifications de puissance de raccordement</w:t>
      </w:r>
      <w:r w:rsidR="00C617F6">
        <w:rPr>
          <w:rFonts w:ascii="Arial" w:hAnsi="Arial" w:cs="Arial"/>
          <w:sz w:val="20"/>
          <w:szCs w:val="20"/>
        </w:rPr>
        <w:t xml:space="preserve"> évoquées par le document de la CRE.</w:t>
      </w:r>
    </w:p>
    <w:p w14:paraId="1758EFE3" w14:textId="77777777" w:rsidR="00293E02" w:rsidRDefault="00293E02" w:rsidP="3750E162">
      <w:pPr>
        <w:spacing w:after="0"/>
        <w:jc w:val="both"/>
        <w:rPr>
          <w:rFonts w:ascii="Arial" w:eastAsiaTheme="minorEastAsia" w:hAnsi="Arial" w:cs="Arial"/>
          <w:b/>
          <w:bCs/>
          <w:sz w:val="20"/>
          <w:szCs w:val="20"/>
        </w:rPr>
      </w:pPr>
    </w:p>
    <w:p w14:paraId="28159182" w14:textId="0F42579E" w:rsidR="1E69456F" w:rsidRDefault="008356EF" w:rsidP="13B1DB59">
      <w:pPr>
        <w:spacing w:after="0"/>
        <w:jc w:val="both"/>
        <w:rPr>
          <w:rFonts w:ascii="Arial" w:eastAsiaTheme="minorEastAsia" w:hAnsi="Arial" w:cs="Arial"/>
          <w:sz w:val="20"/>
          <w:szCs w:val="20"/>
        </w:rPr>
      </w:pPr>
      <w:r w:rsidRPr="13B1DB59">
        <w:rPr>
          <w:rFonts w:ascii="Arial" w:eastAsiaTheme="minorEastAsia" w:hAnsi="Arial" w:cs="Arial"/>
          <w:b/>
          <w:bCs/>
          <w:sz w:val="20"/>
          <w:szCs w:val="20"/>
        </w:rPr>
        <w:t xml:space="preserve">S’agissant des installations dédiées à la </w:t>
      </w:r>
      <w:r w:rsidR="002A6BFF" w:rsidRPr="13B1DB59">
        <w:rPr>
          <w:rFonts w:ascii="Arial" w:eastAsiaTheme="minorEastAsia" w:hAnsi="Arial" w:cs="Arial"/>
          <w:b/>
          <w:bCs/>
          <w:sz w:val="20"/>
          <w:szCs w:val="20"/>
        </w:rPr>
        <w:t>flexibilité</w:t>
      </w:r>
      <w:r w:rsidRPr="13B1DB59">
        <w:rPr>
          <w:rFonts w:ascii="Arial" w:eastAsiaTheme="minorEastAsia" w:hAnsi="Arial" w:cs="Arial"/>
          <w:b/>
          <w:bCs/>
          <w:sz w:val="20"/>
          <w:szCs w:val="20"/>
        </w:rPr>
        <w:t>, comme les STEP</w:t>
      </w:r>
      <w:r w:rsidR="002A6BFF" w:rsidRPr="13B1DB59">
        <w:rPr>
          <w:rFonts w:ascii="Arial" w:eastAsiaTheme="minorEastAsia" w:hAnsi="Arial" w:cs="Arial"/>
          <w:b/>
          <w:bCs/>
          <w:sz w:val="20"/>
          <w:szCs w:val="20"/>
        </w:rPr>
        <w:t xml:space="preserve">, </w:t>
      </w:r>
      <w:r w:rsidR="002A6BFF" w:rsidRPr="007F131D">
        <w:rPr>
          <w:rFonts w:ascii="Arial" w:eastAsiaTheme="minorEastAsia" w:hAnsi="Arial" w:cs="Arial"/>
          <w:sz w:val="20"/>
          <w:szCs w:val="20"/>
        </w:rPr>
        <w:t xml:space="preserve">on affaire à des </w:t>
      </w:r>
      <w:r w:rsidR="00BB7554" w:rsidRPr="13B1DB59">
        <w:rPr>
          <w:rFonts w:ascii="Arial" w:eastAsiaTheme="minorEastAsia" w:hAnsi="Arial" w:cs="Arial"/>
          <w:sz w:val="20"/>
          <w:szCs w:val="20"/>
        </w:rPr>
        <w:t>installations qui peuvent ne pas être utilisées pendant de très longues périodes</w:t>
      </w:r>
      <w:r w:rsidR="00770643" w:rsidRPr="13B1DB59">
        <w:rPr>
          <w:rFonts w:ascii="Arial" w:eastAsiaTheme="minorEastAsia" w:hAnsi="Arial" w:cs="Arial"/>
          <w:sz w:val="20"/>
          <w:szCs w:val="20"/>
        </w:rPr>
        <w:t xml:space="preserve">, du moins à leur </w:t>
      </w:r>
      <w:r w:rsidR="0029105F" w:rsidRPr="13B1DB59">
        <w:rPr>
          <w:rFonts w:ascii="Arial" w:eastAsiaTheme="minorEastAsia" w:hAnsi="Arial" w:cs="Arial"/>
          <w:sz w:val="20"/>
          <w:szCs w:val="20"/>
        </w:rPr>
        <w:t>puissance</w:t>
      </w:r>
      <w:r w:rsidR="00770643" w:rsidRPr="13B1DB59">
        <w:rPr>
          <w:rFonts w:ascii="Arial" w:eastAsiaTheme="minorEastAsia" w:hAnsi="Arial" w:cs="Arial"/>
          <w:sz w:val="20"/>
          <w:szCs w:val="20"/>
        </w:rPr>
        <w:t xml:space="preserve"> maximale</w:t>
      </w:r>
      <w:r w:rsidR="00A70D5C" w:rsidRPr="13B1DB59">
        <w:rPr>
          <w:rFonts w:ascii="Arial" w:eastAsiaTheme="minorEastAsia" w:hAnsi="Arial" w:cs="Arial"/>
          <w:sz w:val="20"/>
          <w:szCs w:val="20"/>
        </w:rPr>
        <w:t xml:space="preserve"> mais </w:t>
      </w:r>
      <w:r w:rsidR="00A65227" w:rsidRPr="13B1DB59">
        <w:rPr>
          <w:rFonts w:ascii="Arial" w:eastAsiaTheme="minorEastAsia" w:hAnsi="Arial" w:cs="Arial"/>
          <w:sz w:val="20"/>
          <w:szCs w:val="20"/>
        </w:rPr>
        <w:t xml:space="preserve">dont </w:t>
      </w:r>
      <w:r w:rsidR="00A70D5C" w:rsidRPr="13B1DB59">
        <w:rPr>
          <w:rFonts w:ascii="Arial" w:eastAsiaTheme="minorEastAsia" w:hAnsi="Arial" w:cs="Arial"/>
          <w:sz w:val="20"/>
          <w:szCs w:val="20"/>
        </w:rPr>
        <w:t xml:space="preserve">on peut </w:t>
      </w:r>
      <w:r w:rsidR="00BF1797" w:rsidRPr="13B1DB59">
        <w:rPr>
          <w:rFonts w:ascii="Arial" w:eastAsiaTheme="minorEastAsia" w:hAnsi="Arial" w:cs="Arial"/>
          <w:sz w:val="20"/>
          <w:szCs w:val="20"/>
        </w:rPr>
        <w:t xml:space="preserve">néanmoins </w:t>
      </w:r>
      <w:r w:rsidR="00A70D5C" w:rsidRPr="13B1DB59">
        <w:rPr>
          <w:rFonts w:ascii="Arial" w:eastAsiaTheme="minorEastAsia" w:hAnsi="Arial" w:cs="Arial"/>
          <w:sz w:val="20"/>
          <w:szCs w:val="20"/>
        </w:rPr>
        <w:t>avoir</w:t>
      </w:r>
      <w:r w:rsidR="00A65227" w:rsidRPr="13B1DB59">
        <w:rPr>
          <w:rFonts w:ascii="Arial" w:eastAsiaTheme="minorEastAsia" w:hAnsi="Arial" w:cs="Arial"/>
          <w:sz w:val="20"/>
          <w:szCs w:val="20"/>
        </w:rPr>
        <w:t xml:space="preserve"> </w:t>
      </w:r>
      <w:r w:rsidR="00BF1797" w:rsidRPr="13B1DB59">
        <w:rPr>
          <w:rFonts w:ascii="Arial" w:eastAsiaTheme="minorEastAsia" w:hAnsi="Arial" w:cs="Arial"/>
          <w:sz w:val="20"/>
          <w:szCs w:val="20"/>
        </w:rPr>
        <w:t xml:space="preserve">besoin </w:t>
      </w:r>
      <w:r w:rsidR="00A65227" w:rsidRPr="13B1DB59">
        <w:rPr>
          <w:rFonts w:ascii="Arial" w:eastAsiaTheme="minorEastAsia" w:hAnsi="Arial" w:cs="Arial"/>
          <w:sz w:val="20"/>
          <w:szCs w:val="20"/>
        </w:rPr>
        <w:t>d’utiliser toute la puissance de raccordement</w:t>
      </w:r>
      <w:r w:rsidR="00BF1797" w:rsidRPr="13B1DB59">
        <w:rPr>
          <w:rFonts w:ascii="Arial" w:eastAsiaTheme="minorEastAsia" w:hAnsi="Arial" w:cs="Arial"/>
          <w:sz w:val="20"/>
          <w:szCs w:val="20"/>
        </w:rPr>
        <w:t>, avec un court préavis</w:t>
      </w:r>
      <w:r w:rsidR="00A65227" w:rsidRPr="13B1DB59">
        <w:rPr>
          <w:rFonts w:ascii="Arial" w:eastAsiaTheme="minorEastAsia" w:hAnsi="Arial" w:cs="Arial"/>
          <w:sz w:val="20"/>
          <w:szCs w:val="20"/>
        </w:rPr>
        <w:t xml:space="preserve">. Ainsi </w:t>
      </w:r>
      <w:r w:rsidR="00BF1797" w:rsidRPr="13B1DB59">
        <w:rPr>
          <w:rFonts w:ascii="Arial" w:eastAsiaTheme="minorEastAsia" w:hAnsi="Arial" w:cs="Arial"/>
          <w:sz w:val="20"/>
          <w:szCs w:val="20"/>
        </w:rPr>
        <w:t>l</w:t>
      </w:r>
      <w:r w:rsidR="00A65227" w:rsidRPr="13B1DB59">
        <w:rPr>
          <w:rFonts w:ascii="Arial" w:eastAsiaTheme="minorEastAsia" w:hAnsi="Arial" w:cs="Arial"/>
          <w:sz w:val="20"/>
          <w:szCs w:val="20"/>
        </w:rPr>
        <w:t xml:space="preserve">a </w:t>
      </w:r>
      <w:r w:rsidR="1E69456F" w:rsidRPr="13B1DB59">
        <w:rPr>
          <w:rFonts w:ascii="Arial" w:eastAsiaTheme="minorEastAsia" w:hAnsi="Arial" w:cs="Arial"/>
          <w:sz w:val="20"/>
          <w:szCs w:val="20"/>
        </w:rPr>
        <w:t xml:space="preserve">puissance de </w:t>
      </w:r>
      <w:r w:rsidR="00D02DF8" w:rsidRPr="13B1DB59">
        <w:rPr>
          <w:rFonts w:ascii="Arial" w:eastAsiaTheme="minorEastAsia" w:hAnsi="Arial" w:cs="Arial"/>
          <w:sz w:val="20"/>
          <w:szCs w:val="20"/>
        </w:rPr>
        <w:t>raccordement n</w:t>
      </w:r>
      <w:r w:rsidR="003E4B0C" w:rsidRPr="13B1DB59">
        <w:rPr>
          <w:rFonts w:ascii="Arial" w:eastAsiaTheme="minorEastAsia" w:hAnsi="Arial" w:cs="Arial"/>
          <w:sz w:val="20"/>
          <w:szCs w:val="20"/>
        </w:rPr>
        <w:t xml:space="preserve">e devrait-elle jamais </w:t>
      </w:r>
      <w:r w:rsidR="00AD4035" w:rsidRPr="13B1DB59">
        <w:rPr>
          <w:rFonts w:ascii="Arial" w:eastAsiaTheme="minorEastAsia" w:hAnsi="Arial" w:cs="Arial"/>
          <w:sz w:val="20"/>
          <w:szCs w:val="20"/>
        </w:rPr>
        <w:t xml:space="preserve">tomber à un niveau inférieur </w:t>
      </w:r>
      <w:r w:rsidR="00CC6DE0" w:rsidRPr="13B1DB59">
        <w:rPr>
          <w:rFonts w:ascii="Arial" w:eastAsiaTheme="minorEastAsia" w:hAnsi="Arial" w:cs="Arial"/>
          <w:sz w:val="20"/>
          <w:szCs w:val="20"/>
        </w:rPr>
        <w:t>à la puissance maximale susceptible d’être soutirée par les équipements</w:t>
      </w:r>
      <w:r w:rsidR="0030726F" w:rsidRPr="13B1DB59">
        <w:rPr>
          <w:rFonts w:ascii="Arial" w:eastAsiaTheme="minorEastAsia" w:hAnsi="Arial" w:cs="Arial"/>
          <w:sz w:val="20"/>
          <w:szCs w:val="20"/>
        </w:rPr>
        <w:t>, notamment les pompes</w:t>
      </w:r>
      <w:r w:rsidR="00234C82" w:rsidRPr="13B1DB59">
        <w:rPr>
          <w:rFonts w:ascii="Arial" w:eastAsiaTheme="minorEastAsia" w:hAnsi="Arial" w:cs="Arial"/>
          <w:sz w:val="20"/>
          <w:szCs w:val="20"/>
        </w:rPr>
        <w:t>, qui</w:t>
      </w:r>
      <w:r w:rsidR="1E69456F" w:rsidRPr="13B1DB59">
        <w:rPr>
          <w:rFonts w:ascii="Arial" w:eastAsiaTheme="minorEastAsia" w:hAnsi="Arial" w:cs="Arial"/>
          <w:sz w:val="20"/>
          <w:szCs w:val="20"/>
        </w:rPr>
        <w:t xml:space="preserve"> sont </w:t>
      </w:r>
      <w:r w:rsidR="00C04B4E" w:rsidRPr="13B1DB59">
        <w:rPr>
          <w:rFonts w:ascii="Arial" w:eastAsiaTheme="minorEastAsia" w:hAnsi="Arial" w:cs="Arial"/>
          <w:sz w:val="20"/>
          <w:szCs w:val="20"/>
        </w:rPr>
        <w:t xml:space="preserve">d’ailleurs </w:t>
      </w:r>
      <w:r w:rsidR="1E69456F" w:rsidRPr="13B1DB59">
        <w:rPr>
          <w:rFonts w:ascii="Arial" w:eastAsiaTheme="minorEastAsia" w:hAnsi="Arial" w:cs="Arial"/>
          <w:sz w:val="20"/>
          <w:szCs w:val="20"/>
        </w:rPr>
        <w:t xml:space="preserve">offertes à l’ajustement à RTE, en offre exceptionnelle, et contribuent ainsi, pour leur puissance d’équipement à la sûreté du système électrique. </w:t>
      </w:r>
    </w:p>
    <w:p w14:paraId="530FD0A5" w14:textId="77777777" w:rsidR="00EF7B5B" w:rsidRPr="0069602F" w:rsidRDefault="00EF7B5B" w:rsidP="3750E162">
      <w:pPr>
        <w:spacing w:after="0"/>
        <w:jc w:val="both"/>
        <w:rPr>
          <w:rFonts w:ascii="Arial" w:eastAsiaTheme="minorEastAsia" w:hAnsi="Arial" w:cs="Arial"/>
          <w:sz w:val="20"/>
          <w:szCs w:val="20"/>
        </w:rPr>
      </w:pPr>
    </w:p>
    <w:p w14:paraId="5DDE294F" w14:textId="6B0F8358" w:rsidR="1F59AEA3" w:rsidRPr="0069602F" w:rsidRDefault="005671BE" w:rsidP="3750E162">
      <w:pPr>
        <w:spacing w:after="0"/>
        <w:jc w:val="both"/>
        <w:rPr>
          <w:rFonts w:ascii="Arial" w:eastAsiaTheme="minorEastAsia" w:hAnsi="Arial" w:cs="Arial"/>
          <w:sz w:val="20"/>
          <w:szCs w:val="20"/>
        </w:rPr>
      </w:pPr>
      <w:r>
        <w:rPr>
          <w:rFonts w:ascii="Arial" w:eastAsiaTheme="minorEastAsia" w:hAnsi="Arial" w:cs="Arial"/>
          <w:sz w:val="20"/>
          <w:szCs w:val="20"/>
        </w:rPr>
        <w:t>Des</w:t>
      </w:r>
      <w:r w:rsidR="1F59AEA3" w:rsidRPr="0069602F">
        <w:rPr>
          <w:rFonts w:ascii="Arial" w:eastAsiaTheme="minorEastAsia" w:hAnsi="Arial" w:cs="Arial"/>
          <w:sz w:val="20"/>
          <w:szCs w:val="20"/>
        </w:rPr>
        <w:t xml:space="preserve"> projets d’hybridation </w:t>
      </w:r>
      <w:r w:rsidR="003268C0">
        <w:rPr>
          <w:rFonts w:ascii="Arial" w:eastAsiaTheme="minorEastAsia" w:hAnsi="Arial" w:cs="Arial"/>
          <w:sz w:val="20"/>
          <w:szCs w:val="20"/>
        </w:rPr>
        <w:t xml:space="preserve">visant à accroître la flexibilité du système </w:t>
      </w:r>
      <w:r w:rsidR="1F59AEA3" w:rsidRPr="0069602F">
        <w:rPr>
          <w:rFonts w:ascii="Arial" w:eastAsiaTheme="minorEastAsia" w:hAnsi="Arial" w:cs="Arial"/>
          <w:sz w:val="20"/>
          <w:szCs w:val="20"/>
        </w:rPr>
        <w:t xml:space="preserve">pourraient </w:t>
      </w:r>
      <w:r w:rsidR="003268C0">
        <w:rPr>
          <w:rFonts w:ascii="Arial" w:eastAsiaTheme="minorEastAsia" w:hAnsi="Arial" w:cs="Arial"/>
          <w:sz w:val="20"/>
          <w:szCs w:val="20"/>
        </w:rPr>
        <w:t xml:space="preserve">par ailleurs </w:t>
      </w:r>
      <w:r w:rsidR="1F59AEA3" w:rsidRPr="0069602F">
        <w:rPr>
          <w:rFonts w:ascii="Arial" w:eastAsiaTheme="minorEastAsia" w:hAnsi="Arial" w:cs="Arial"/>
          <w:sz w:val="20"/>
          <w:szCs w:val="20"/>
        </w:rPr>
        <w:t>se développer sur des sites de production, combinant une installation de production et une batterie</w:t>
      </w:r>
      <w:r w:rsidR="2ECED7EE" w:rsidRPr="0069602F">
        <w:rPr>
          <w:rFonts w:ascii="Arial" w:eastAsiaTheme="minorEastAsia" w:hAnsi="Arial" w:cs="Arial"/>
          <w:sz w:val="20"/>
          <w:szCs w:val="20"/>
        </w:rPr>
        <w:t xml:space="preserve">, permettant ainsi d’offrir davantage de services systèmes contribuant à renforcer la </w:t>
      </w:r>
      <w:r w:rsidR="00B70618">
        <w:rPr>
          <w:rFonts w:ascii="Arial" w:eastAsiaTheme="minorEastAsia" w:hAnsi="Arial" w:cs="Arial"/>
          <w:sz w:val="20"/>
          <w:szCs w:val="20"/>
        </w:rPr>
        <w:t>sûreté</w:t>
      </w:r>
      <w:r w:rsidR="00B70618" w:rsidRPr="0069602F">
        <w:rPr>
          <w:rFonts w:ascii="Arial" w:eastAsiaTheme="minorEastAsia" w:hAnsi="Arial" w:cs="Arial"/>
          <w:sz w:val="20"/>
          <w:szCs w:val="20"/>
        </w:rPr>
        <w:t xml:space="preserve"> </w:t>
      </w:r>
      <w:r w:rsidR="2ECED7EE" w:rsidRPr="0069602F">
        <w:rPr>
          <w:rFonts w:ascii="Arial" w:eastAsiaTheme="minorEastAsia" w:hAnsi="Arial" w:cs="Arial"/>
          <w:sz w:val="20"/>
          <w:szCs w:val="20"/>
        </w:rPr>
        <w:t xml:space="preserve">du système électrique. Un </w:t>
      </w:r>
      <w:r w:rsidR="2ECED7EE" w:rsidRPr="0069602F">
        <w:rPr>
          <w:rFonts w:ascii="Arial" w:eastAsiaTheme="minorEastAsia" w:hAnsi="Arial" w:cs="Arial"/>
          <w:sz w:val="20"/>
          <w:szCs w:val="20"/>
        </w:rPr>
        <w:lastRenderedPageBreak/>
        <w:t xml:space="preserve">abaissement de la puissance de raccordement des sites de production actuels </w:t>
      </w:r>
      <w:r w:rsidR="3A169EAE" w:rsidRPr="0069602F">
        <w:rPr>
          <w:rFonts w:ascii="Arial" w:eastAsiaTheme="minorEastAsia" w:hAnsi="Arial" w:cs="Arial"/>
          <w:sz w:val="20"/>
          <w:szCs w:val="20"/>
        </w:rPr>
        <w:t>ralentirait et renchérirait les investissements de ce type.</w:t>
      </w:r>
    </w:p>
    <w:p w14:paraId="3EDBEFE0" w14:textId="4BE9400A" w:rsidR="4B2D3F24" w:rsidRPr="0069602F" w:rsidRDefault="4B2D3F24" w:rsidP="4B2D3F24">
      <w:pPr>
        <w:spacing w:after="0"/>
        <w:jc w:val="both"/>
        <w:rPr>
          <w:rFonts w:ascii="Arial" w:eastAsiaTheme="minorEastAsia" w:hAnsi="Arial" w:cs="Arial"/>
          <w:sz w:val="20"/>
          <w:szCs w:val="20"/>
        </w:rPr>
      </w:pPr>
    </w:p>
    <w:p w14:paraId="1381DA15" w14:textId="5DD7E074" w:rsidR="000977C9" w:rsidRDefault="2566CD33" w:rsidP="001D2D1C">
      <w:pPr>
        <w:jc w:val="both"/>
        <w:rPr>
          <w:rFonts w:ascii="Arial" w:hAnsi="Arial" w:cs="Arial"/>
          <w:i/>
          <w:iCs/>
          <w:color w:val="2F5496" w:themeColor="accent1" w:themeShade="BF"/>
          <w:sz w:val="20"/>
          <w:szCs w:val="20"/>
        </w:rPr>
      </w:pPr>
      <w:r w:rsidRPr="007F131D">
        <w:rPr>
          <w:rFonts w:ascii="Arial" w:hAnsi="Arial" w:cs="Arial"/>
          <w:b/>
          <w:bCs/>
          <w:sz w:val="20"/>
          <w:szCs w:val="20"/>
        </w:rPr>
        <w:t>Enfin, EDF appelle à la plus grande vigilance concernant l’impact de ces préconisations sur le</w:t>
      </w:r>
      <w:r w:rsidRPr="0B609792">
        <w:rPr>
          <w:rFonts w:ascii="Arial" w:hAnsi="Arial" w:cs="Arial"/>
          <w:sz w:val="20"/>
          <w:szCs w:val="20"/>
        </w:rPr>
        <w:t xml:space="preserve"> </w:t>
      </w:r>
      <w:r w:rsidRPr="007F131D">
        <w:rPr>
          <w:rFonts w:ascii="Arial" w:hAnsi="Arial" w:cs="Arial"/>
          <w:b/>
          <w:bCs/>
          <w:sz w:val="20"/>
          <w:szCs w:val="20"/>
        </w:rPr>
        <w:t>développement de la mobilité électrique</w:t>
      </w:r>
      <w:r w:rsidRPr="0B609792">
        <w:rPr>
          <w:rFonts w:ascii="Arial" w:hAnsi="Arial" w:cs="Arial"/>
          <w:sz w:val="20"/>
          <w:szCs w:val="20"/>
        </w:rPr>
        <w:t>, et en particulier sur le déploiement des bornes de recharge ouvertes au public. Alors que la t</w:t>
      </w:r>
      <w:r w:rsidR="301CA3C1" w:rsidRPr="0B609792">
        <w:rPr>
          <w:rFonts w:ascii="Arial" w:hAnsi="Arial" w:cs="Arial"/>
          <w:sz w:val="20"/>
          <w:szCs w:val="20"/>
        </w:rPr>
        <w:t>rajectoire de ce déploiement reste l’objet de la vigilance de l’Etat quant à l’atteinte de l’objectif de 400</w:t>
      </w:r>
      <w:r w:rsidR="00221AAD">
        <w:rPr>
          <w:rFonts w:ascii="Arial" w:hAnsi="Arial" w:cs="Arial"/>
          <w:sz w:val="20"/>
          <w:szCs w:val="20"/>
        </w:rPr>
        <w:t xml:space="preserve"> </w:t>
      </w:r>
      <w:r w:rsidR="301CA3C1" w:rsidRPr="0B609792">
        <w:rPr>
          <w:rFonts w:ascii="Arial" w:hAnsi="Arial" w:cs="Arial"/>
          <w:sz w:val="20"/>
          <w:szCs w:val="20"/>
        </w:rPr>
        <w:t xml:space="preserve">000 bornes de recharge en 2030 et à l’application des obligations du </w:t>
      </w:r>
      <w:r w:rsidR="00E1264B" w:rsidRPr="0B609792">
        <w:rPr>
          <w:rFonts w:ascii="Arial" w:hAnsi="Arial" w:cs="Arial"/>
          <w:sz w:val="20"/>
          <w:szCs w:val="20"/>
        </w:rPr>
        <w:t>règlement</w:t>
      </w:r>
      <w:r w:rsidR="301CA3C1" w:rsidRPr="0B609792">
        <w:rPr>
          <w:rFonts w:ascii="Arial" w:hAnsi="Arial" w:cs="Arial"/>
          <w:sz w:val="20"/>
          <w:szCs w:val="20"/>
        </w:rPr>
        <w:t xml:space="preserve"> européen AFIR, </w:t>
      </w:r>
      <w:r w:rsidR="2FAB4E02" w:rsidRPr="0B609792">
        <w:rPr>
          <w:rFonts w:ascii="Arial" w:hAnsi="Arial" w:cs="Arial"/>
          <w:sz w:val="20"/>
          <w:szCs w:val="20"/>
        </w:rPr>
        <w:t xml:space="preserve">ces préconisations </w:t>
      </w:r>
      <w:r w:rsidR="000962F9">
        <w:rPr>
          <w:rFonts w:ascii="Arial" w:hAnsi="Arial" w:cs="Arial"/>
          <w:sz w:val="20"/>
          <w:szCs w:val="20"/>
        </w:rPr>
        <w:t>suscitent</w:t>
      </w:r>
      <w:r w:rsidR="2FAB4E02" w:rsidRPr="0B609792">
        <w:rPr>
          <w:rFonts w:ascii="Arial" w:hAnsi="Arial" w:cs="Arial"/>
          <w:sz w:val="20"/>
          <w:szCs w:val="20"/>
        </w:rPr>
        <w:t xml:space="preserve"> un risque important de déstabilisation des investissements</w:t>
      </w:r>
      <w:r w:rsidR="00030684">
        <w:rPr>
          <w:rFonts w:ascii="Arial" w:hAnsi="Arial" w:cs="Arial"/>
          <w:sz w:val="20"/>
          <w:szCs w:val="20"/>
        </w:rPr>
        <w:t xml:space="preserve"> dans un </w:t>
      </w:r>
      <w:r w:rsidR="00C874DE">
        <w:rPr>
          <w:rFonts w:ascii="Arial" w:hAnsi="Arial" w:cs="Arial"/>
          <w:sz w:val="20"/>
          <w:szCs w:val="20"/>
        </w:rPr>
        <w:t>contexte où</w:t>
      </w:r>
      <w:r w:rsidR="6A079BCD" w:rsidRPr="0B609792">
        <w:rPr>
          <w:rFonts w:ascii="Arial" w:hAnsi="Arial" w:cs="Arial"/>
          <w:sz w:val="20"/>
          <w:szCs w:val="20"/>
        </w:rPr>
        <w:t xml:space="preserve"> l’</w:t>
      </w:r>
      <w:r w:rsidR="080E40BE" w:rsidRPr="0B609792">
        <w:rPr>
          <w:rFonts w:ascii="Arial" w:hAnsi="Arial" w:cs="Arial"/>
          <w:sz w:val="20"/>
          <w:szCs w:val="20"/>
        </w:rPr>
        <w:t xml:space="preserve">Etat et la réglementation </w:t>
      </w:r>
      <w:r w:rsidR="005B692B">
        <w:rPr>
          <w:rFonts w:ascii="Arial" w:hAnsi="Arial" w:cs="Arial"/>
          <w:sz w:val="20"/>
          <w:szCs w:val="20"/>
        </w:rPr>
        <w:t>poussent les opérateurs à réaliser des investissements</w:t>
      </w:r>
      <w:r w:rsidR="003950FB">
        <w:rPr>
          <w:rFonts w:ascii="Arial" w:hAnsi="Arial" w:cs="Arial"/>
          <w:sz w:val="20"/>
          <w:szCs w:val="20"/>
        </w:rPr>
        <w:t xml:space="preserve"> anticipant </w:t>
      </w:r>
      <w:r w:rsidR="080E40BE" w:rsidRPr="0B609792">
        <w:rPr>
          <w:rFonts w:ascii="Arial" w:hAnsi="Arial" w:cs="Arial"/>
          <w:sz w:val="20"/>
          <w:szCs w:val="20"/>
        </w:rPr>
        <w:t xml:space="preserve">la hausse des puissances de raccordement </w:t>
      </w:r>
      <w:r w:rsidR="003950FB">
        <w:rPr>
          <w:rFonts w:ascii="Arial" w:hAnsi="Arial" w:cs="Arial"/>
          <w:sz w:val="20"/>
          <w:szCs w:val="20"/>
        </w:rPr>
        <w:t>et</w:t>
      </w:r>
      <w:r w:rsidR="080E40BE" w:rsidRPr="0B609792">
        <w:rPr>
          <w:rFonts w:ascii="Arial" w:hAnsi="Arial" w:cs="Arial"/>
          <w:sz w:val="20"/>
          <w:szCs w:val="20"/>
        </w:rPr>
        <w:t xml:space="preserve"> la croissance de la mobilité électrique</w:t>
      </w:r>
      <w:r w:rsidR="003950FB">
        <w:rPr>
          <w:rFonts w:ascii="Arial" w:hAnsi="Arial" w:cs="Arial"/>
          <w:sz w:val="20"/>
          <w:szCs w:val="20"/>
        </w:rPr>
        <w:t>.</w:t>
      </w:r>
    </w:p>
    <w:p w14:paraId="2D017E63" w14:textId="77777777" w:rsidR="007F131D" w:rsidRDefault="007F131D" w:rsidP="001D2D1C">
      <w:pPr>
        <w:jc w:val="both"/>
        <w:rPr>
          <w:rFonts w:ascii="Arial" w:hAnsi="Arial" w:cs="Arial"/>
          <w:b/>
          <w:bCs/>
          <w:i/>
          <w:iCs/>
          <w:color w:val="2F5496" w:themeColor="accent1" w:themeShade="BF"/>
          <w:sz w:val="20"/>
          <w:szCs w:val="20"/>
        </w:rPr>
      </w:pPr>
    </w:p>
    <w:p w14:paraId="372563FF" w14:textId="6451B108"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2 : Etes-vous favorable à la formule proposée pour la modification de la puissance de raccordement ?</w:t>
      </w:r>
    </w:p>
    <w:p w14:paraId="4352B443" w14:textId="42CF88BC" w:rsidR="000771A0" w:rsidRPr="006C217E" w:rsidRDefault="004810FE" w:rsidP="001D2D1C">
      <w:pPr>
        <w:jc w:val="both"/>
        <w:rPr>
          <w:rFonts w:ascii="Arial" w:hAnsi="Arial" w:cs="Arial"/>
          <w:sz w:val="20"/>
          <w:szCs w:val="20"/>
        </w:rPr>
      </w:pPr>
      <w:r w:rsidRPr="006C217E">
        <w:rPr>
          <w:rFonts w:ascii="Arial" w:hAnsi="Arial" w:cs="Arial"/>
          <w:sz w:val="20"/>
          <w:szCs w:val="20"/>
        </w:rPr>
        <w:t xml:space="preserve">La CRE propose de définir la puissance de </w:t>
      </w:r>
      <w:r w:rsidR="00CB647B" w:rsidRPr="006C217E">
        <w:rPr>
          <w:rFonts w:ascii="Arial" w:hAnsi="Arial" w:cs="Arial"/>
          <w:sz w:val="20"/>
          <w:szCs w:val="20"/>
        </w:rPr>
        <w:t xml:space="preserve">raccordement adaptée comme le minimum de </w:t>
      </w:r>
      <w:r w:rsidR="006878DB" w:rsidRPr="006C217E">
        <w:rPr>
          <w:rFonts w:ascii="Arial" w:hAnsi="Arial" w:cs="Arial"/>
          <w:sz w:val="20"/>
          <w:szCs w:val="20"/>
        </w:rPr>
        <w:t>(110</w:t>
      </w:r>
      <w:r w:rsidR="00C81944">
        <w:rPr>
          <w:rFonts w:ascii="Arial" w:hAnsi="Arial" w:cs="Arial"/>
          <w:sz w:val="20"/>
          <w:szCs w:val="20"/>
        </w:rPr>
        <w:t> </w:t>
      </w:r>
      <w:r w:rsidR="006878DB" w:rsidRPr="006C217E">
        <w:rPr>
          <w:rFonts w:ascii="Arial" w:hAnsi="Arial" w:cs="Arial"/>
          <w:sz w:val="20"/>
          <w:szCs w:val="20"/>
        </w:rPr>
        <w:t>% de la puissance de soutirage maximale ; 110</w:t>
      </w:r>
      <w:r w:rsidR="00C81944">
        <w:rPr>
          <w:rFonts w:ascii="Arial" w:hAnsi="Arial" w:cs="Arial"/>
          <w:sz w:val="20"/>
          <w:szCs w:val="20"/>
        </w:rPr>
        <w:t> </w:t>
      </w:r>
      <w:r w:rsidR="006878DB" w:rsidRPr="006C217E">
        <w:rPr>
          <w:rFonts w:ascii="Arial" w:hAnsi="Arial" w:cs="Arial"/>
          <w:sz w:val="20"/>
          <w:szCs w:val="20"/>
        </w:rPr>
        <w:t xml:space="preserve">% </w:t>
      </w:r>
      <w:r w:rsidR="0072746A" w:rsidRPr="006C217E">
        <w:rPr>
          <w:rFonts w:ascii="Arial" w:hAnsi="Arial" w:cs="Arial"/>
          <w:sz w:val="20"/>
          <w:szCs w:val="20"/>
        </w:rPr>
        <w:t xml:space="preserve">de la puissance souscrite maximale ; </w:t>
      </w:r>
      <w:r w:rsidR="006C217E" w:rsidRPr="006C217E">
        <w:rPr>
          <w:rFonts w:ascii="Arial" w:hAnsi="Arial" w:cs="Arial"/>
          <w:sz w:val="20"/>
          <w:szCs w:val="20"/>
        </w:rPr>
        <w:t>puissance</w:t>
      </w:r>
      <w:r w:rsidR="0072746A" w:rsidRPr="006C217E">
        <w:rPr>
          <w:rFonts w:ascii="Arial" w:hAnsi="Arial" w:cs="Arial"/>
          <w:sz w:val="20"/>
          <w:szCs w:val="20"/>
        </w:rPr>
        <w:t xml:space="preserve"> de raccordement avant modification), ces maximaux étant calculés </w:t>
      </w:r>
      <w:r w:rsidR="00AD0AEC" w:rsidRPr="006C217E">
        <w:rPr>
          <w:rFonts w:ascii="Arial" w:hAnsi="Arial" w:cs="Arial"/>
          <w:sz w:val="20"/>
          <w:szCs w:val="20"/>
        </w:rPr>
        <w:t xml:space="preserve">sur la base de </w:t>
      </w:r>
      <w:r w:rsidR="006C217E">
        <w:rPr>
          <w:rFonts w:ascii="Arial" w:hAnsi="Arial" w:cs="Arial"/>
          <w:sz w:val="20"/>
          <w:szCs w:val="20"/>
        </w:rPr>
        <w:t>cinq</w:t>
      </w:r>
      <w:r w:rsidR="006C217E" w:rsidRPr="006C217E">
        <w:rPr>
          <w:rFonts w:ascii="Arial" w:hAnsi="Arial" w:cs="Arial"/>
          <w:sz w:val="20"/>
          <w:szCs w:val="20"/>
        </w:rPr>
        <w:t xml:space="preserve"> </w:t>
      </w:r>
      <w:r w:rsidR="00AD0AEC" w:rsidRPr="006C217E">
        <w:rPr>
          <w:rFonts w:ascii="Arial" w:hAnsi="Arial" w:cs="Arial"/>
          <w:sz w:val="20"/>
          <w:szCs w:val="20"/>
        </w:rPr>
        <w:t xml:space="preserve">ans pour les utilisateurs raccordés </w:t>
      </w:r>
      <w:r w:rsidR="006C217E" w:rsidRPr="006C217E">
        <w:rPr>
          <w:rFonts w:ascii="Arial" w:hAnsi="Arial" w:cs="Arial"/>
          <w:sz w:val="20"/>
          <w:szCs w:val="20"/>
        </w:rPr>
        <w:t>au réseau</w:t>
      </w:r>
      <w:r w:rsidR="00AD0AEC" w:rsidRPr="006C217E">
        <w:rPr>
          <w:rFonts w:ascii="Arial" w:hAnsi="Arial" w:cs="Arial"/>
          <w:sz w:val="20"/>
          <w:szCs w:val="20"/>
        </w:rPr>
        <w:t xml:space="preserve"> de transport et de </w:t>
      </w:r>
      <w:r w:rsidR="006C217E">
        <w:rPr>
          <w:rFonts w:ascii="Arial" w:hAnsi="Arial" w:cs="Arial"/>
          <w:sz w:val="20"/>
          <w:szCs w:val="20"/>
        </w:rPr>
        <w:t xml:space="preserve">deux </w:t>
      </w:r>
      <w:r w:rsidR="00AD0AEC" w:rsidRPr="006C217E">
        <w:rPr>
          <w:rFonts w:ascii="Arial" w:hAnsi="Arial" w:cs="Arial"/>
          <w:sz w:val="20"/>
          <w:szCs w:val="20"/>
        </w:rPr>
        <w:t>ans pour ceux raccordés au réseau</w:t>
      </w:r>
      <w:r w:rsidR="006C217E" w:rsidRPr="006C217E">
        <w:rPr>
          <w:rFonts w:ascii="Arial" w:hAnsi="Arial" w:cs="Arial"/>
          <w:sz w:val="20"/>
          <w:szCs w:val="20"/>
        </w:rPr>
        <w:t xml:space="preserve"> de distribution.</w:t>
      </w:r>
    </w:p>
    <w:p w14:paraId="171F4D0E" w14:textId="3BC7EABB" w:rsidR="000977C9" w:rsidRDefault="006C217E" w:rsidP="000977C9">
      <w:pPr>
        <w:spacing w:after="0"/>
        <w:jc w:val="both"/>
        <w:rPr>
          <w:rFonts w:ascii="Arial" w:hAnsi="Arial" w:cs="Arial"/>
          <w:sz w:val="20"/>
          <w:szCs w:val="20"/>
        </w:rPr>
      </w:pPr>
      <w:r w:rsidRPr="006C217E">
        <w:rPr>
          <w:rFonts w:ascii="Arial" w:hAnsi="Arial" w:cs="Arial"/>
          <w:sz w:val="20"/>
          <w:szCs w:val="20"/>
        </w:rPr>
        <w:t>N</w:t>
      </w:r>
      <w:r w:rsidR="000977C9" w:rsidRPr="006C217E">
        <w:rPr>
          <w:rFonts w:ascii="Arial" w:hAnsi="Arial" w:cs="Arial"/>
          <w:sz w:val="20"/>
          <w:szCs w:val="20"/>
        </w:rPr>
        <w:t xml:space="preserve">ous comprenons </w:t>
      </w:r>
      <w:proofErr w:type="spellStart"/>
      <w:r w:rsidR="000977C9" w:rsidRPr="006C217E">
        <w:rPr>
          <w:rFonts w:ascii="Arial" w:hAnsi="Arial" w:cs="Arial"/>
          <w:sz w:val="20"/>
          <w:szCs w:val="20"/>
        </w:rPr>
        <w:t>P</w:t>
      </w:r>
      <w:r w:rsidR="000977C9" w:rsidRPr="007F131D">
        <w:rPr>
          <w:rFonts w:ascii="Arial" w:hAnsi="Arial" w:cs="Arial"/>
          <w:sz w:val="20"/>
          <w:szCs w:val="20"/>
          <w:vertAlign w:val="subscript"/>
        </w:rPr>
        <w:t>soutirage</w:t>
      </w:r>
      <w:proofErr w:type="spellEnd"/>
      <w:r w:rsidR="000977C9" w:rsidRPr="007F131D">
        <w:rPr>
          <w:rFonts w:ascii="Arial" w:hAnsi="Arial" w:cs="Arial"/>
          <w:sz w:val="20"/>
          <w:szCs w:val="20"/>
          <w:vertAlign w:val="subscript"/>
        </w:rPr>
        <w:t xml:space="preserve"> max </w:t>
      </w:r>
      <w:r w:rsidR="000977C9" w:rsidRPr="006C217E">
        <w:rPr>
          <w:rFonts w:ascii="Arial" w:hAnsi="Arial" w:cs="Arial"/>
          <w:sz w:val="20"/>
          <w:szCs w:val="20"/>
        </w:rPr>
        <w:t>comme le maximum observé de la Puissance de soutirage sur 1</w:t>
      </w:r>
      <w:r>
        <w:rPr>
          <w:rFonts w:ascii="Arial" w:hAnsi="Arial" w:cs="Arial"/>
          <w:sz w:val="20"/>
          <w:szCs w:val="20"/>
        </w:rPr>
        <w:t> </w:t>
      </w:r>
      <w:r w:rsidR="000977C9" w:rsidRPr="006C217E">
        <w:rPr>
          <w:rFonts w:ascii="Arial" w:hAnsi="Arial" w:cs="Arial"/>
          <w:sz w:val="20"/>
          <w:szCs w:val="20"/>
        </w:rPr>
        <w:t>m</w:t>
      </w:r>
      <w:r w:rsidR="007C4A7C">
        <w:rPr>
          <w:rFonts w:ascii="Arial" w:hAnsi="Arial" w:cs="Arial"/>
          <w:sz w:val="20"/>
          <w:szCs w:val="20"/>
        </w:rPr>
        <w:t>inute</w:t>
      </w:r>
      <w:r w:rsidR="000977C9" w:rsidRPr="006C217E">
        <w:rPr>
          <w:rFonts w:ascii="Arial" w:hAnsi="Arial" w:cs="Arial"/>
          <w:sz w:val="20"/>
          <w:szCs w:val="20"/>
        </w:rPr>
        <w:t xml:space="preserve"> au cours </w:t>
      </w:r>
      <w:r w:rsidR="00373561" w:rsidRPr="006C217E">
        <w:rPr>
          <w:rFonts w:ascii="Arial" w:hAnsi="Arial" w:cs="Arial"/>
          <w:sz w:val="20"/>
          <w:szCs w:val="20"/>
        </w:rPr>
        <w:t>des années</w:t>
      </w:r>
      <w:r w:rsidR="000977C9" w:rsidRPr="006C217E">
        <w:rPr>
          <w:rFonts w:ascii="Arial" w:hAnsi="Arial" w:cs="Arial"/>
          <w:sz w:val="20"/>
          <w:szCs w:val="20"/>
        </w:rPr>
        <w:t xml:space="preserve"> de référence</w:t>
      </w:r>
      <w:r>
        <w:rPr>
          <w:rFonts w:ascii="Arial" w:hAnsi="Arial" w:cs="Arial"/>
          <w:sz w:val="20"/>
          <w:szCs w:val="20"/>
        </w:rPr>
        <w:t xml:space="preserve"> et</w:t>
      </w:r>
      <w:r w:rsidR="000977C9" w:rsidRPr="006C217E">
        <w:rPr>
          <w:rFonts w:ascii="Arial" w:hAnsi="Arial" w:cs="Arial"/>
          <w:sz w:val="20"/>
          <w:szCs w:val="20"/>
        </w:rPr>
        <w:t xml:space="preserve"> non </w:t>
      </w:r>
      <w:r w:rsidR="00F32BFB">
        <w:rPr>
          <w:rFonts w:ascii="Arial" w:hAnsi="Arial" w:cs="Arial"/>
          <w:sz w:val="20"/>
          <w:szCs w:val="20"/>
        </w:rPr>
        <w:t>comme</w:t>
      </w:r>
      <w:r w:rsidR="00F32BFB" w:rsidRPr="006C217E">
        <w:rPr>
          <w:rFonts w:ascii="Arial" w:hAnsi="Arial" w:cs="Arial"/>
          <w:sz w:val="20"/>
          <w:szCs w:val="20"/>
        </w:rPr>
        <w:t xml:space="preserve"> </w:t>
      </w:r>
      <w:r w:rsidR="000977C9" w:rsidRPr="006C217E">
        <w:rPr>
          <w:rFonts w:ascii="Arial" w:hAnsi="Arial" w:cs="Arial"/>
          <w:sz w:val="20"/>
          <w:szCs w:val="20"/>
        </w:rPr>
        <w:t>une moyenne annuelle de la Puissance soutirée.</w:t>
      </w:r>
    </w:p>
    <w:p w14:paraId="5128FAE0" w14:textId="34CA2F01" w:rsidR="00D21DE5" w:rsidRPr="006C217E" w:rsidRDefault="00DB5381" w:rsidP="000977C9">
      <w:pPr>
        <w:spacing w:after="0"/>
        <w:jc w:val="both"/>
        <w:rPr>
          <w:rFonts w:ascii="Arial" w:hAnsi="Arial" w:cs="Arial"/>
          <w:sz w:val="20"/>
          <w:szCs w:val="20"/>
        </w:rPr>
      </w:pPr>
      <w:r>
        <w:rPr>
          <w:rFonts w:ascii="Arial" w:hAnsi="Arial" w:cs="Arial"/>
          <w:sz w:val="20"/>
          <w:szCs w:val="20"/>
        </w:rPr>
        <w:t>Cette précision est importante. Il ne faudrait pas que</w:t>
      </w:r>
      <w:r w:rsidR="00D21DE5" w:rsidRPr="00D21DE5">
        <w:rPr>
          <w:rFonts w:ascii="Arial" w:hAnsi="Arial" w:cs="Arial"/>
          <w:sz w:val="20"/>
          <w:szCs w:val="20"/>
        </w:rPr>
        <w:t xml:space="preserve"> la mise en </w:t>
      </w:r>
      <w:r w:rsidRPr="00D21DE5">
        <w:rPr>
          <w:rFonts w:ascii="Arial" w:hAnsi="Arial" w:cs="Arial"/>
          <w:sz w:val="20"/>
          <w:szCs w:val="20"/>
        </w:rPr>
        <w:t>œuvre</w:t>
      </w:r>
      <w:r w:rsidR="00D21DE5" w:rsidRPr="00D21DE5">
        <w:rPr>
          <w:rFonts w:ascii="Arial" w:hAnsi="Arial" w:cs="Arial"/>
          <w:sz w:val="20"/>
          <w:szCs w:val="20"/>
        </w:rPr>
        <w:t xml:space="preserve"> de cette mesure conduise à masquer la puissance instantanée consommée. En effet, </w:t>
      </w:r>
      <w:r w:rsidR="003213AD">
        <w:rPr>
          <w:rFonts w:ascii="Arial" w:hAnsi="Arial" w:cs="Arial"/>
          <w:sz w:val="20"/>
          <w:szCs w:val="20"/>
        </w:rPr>
        <w:t xml:space="preserve">pour certaines installations, par exemple une centrale thermique </w:t>
      </w:r>
      <w:r w:rsidR="00D21DE5" w:rsidRPr="00D21DE5">
        <w:rPr>
          <w:rFonts w:ascii="Arial" w:hAnsi="Arial" w:cs="Arial"/>
          <w:sz w:val="20"/>
          <w:szCs w:val="20"/>
        </w:rPr>
        <w:t>en phase de démarrage, la puissance effectivement soutirée atteint un niveau instantané dont la moyenne sur un pas de temps trop important pourrait ne pas rendre compte.</w:t>
      </w:r>
    </w:p>
    <w:p w14:paraId="6048DD8B" w14:textId="77777777" w:rsidR="00A72909" w:rsidRDefault="00A72909" w:rsidP="000977C9">
      <w:pPr>
        <w:spacing w:after="0"/>
        <w:jc w:val="both"/>
        <w:rPr>
          <w:rFonts w:ascii="Arial" w:hAnsi="Arial" w:cs="Arial"/>
          <w:sz w:val="20"/>
          <w:szCs w:val="20"/>
        </w:rPr>
      </w:pPr>
    </w:p>
    <w:p w14:paraId="325C7900" w14:textId="2EF42763" w:rsidR="00917F2E" w:rsidRDefault="00722B1B" w:rsidP="000977C9">
      <w:pPr>
        <w:spacing w:after="0"/>
        <w:jc w:val="both"/>
        <w:rPr>
          <w:rFonts w:ascii="Arial" w:hAnsi="Arial" w:cs="Arial"/>
          <w:sz w:val="20"/>
          <w:szCs w:val="20"/>
        </w:rPr>
      </w:pPr>
      <w:r>
        <w:rPr>
          <w:rFonts w:ascii="Arial" w:hAnsi="Arial" w:cs="Arial"/>
          <w:sz w:val="20"/>
          <w:szCs w:val="20"/>
        </w:rPr>
        <w:t>Sur le fond</w:t>
      </w:r>
      <w:r w:rsidR="0058385B">
        <w:rPr>
          <w:rFonts w:ascii="Arial" w:hAnsi="Arial" w:cs="Arial"/>
          <w:sz w:val="20"/>
          <w:szCs w:val="20"/>
        </w:rPr>
        <w:t xml:space="preserve">, la </w:t>
      </w:r>
      <w:r w:rsidR="0071112B">
        <w:rPr>
          <w:rFonts w:ascii="Arial" w:hAnsi="Arial" w:cs="Arial"/>
          <w:sz w:val="20"/>
          <w:szCs w:val="20"/>
        </w:rPr>
        <w:t>formu</w:t>
      </w:r>
      <w:r w:rsidR="00A85575">
        <w:rPr>
          <w:rFonts w:ascii="Arial" w:hAnsi="Arial" w:cs="Arial"/>
          <w:sz w:val="20"/>
          <w:szCs w:val="20"/>
        </w:rPr>
        <w:t>l</w:t>
      </w:r>
      <w:r w:rsidR="0071112B">
        <w:rPr>
          <w:rFonts w:ascii="Arial" w:hAnsi="Arial" w:cs="Arial"/>
          <w:sz w:val="20"/>
          <w:szCs w:val="20"/>
        </w:rPr>
        <w:t>e proposée par la CRE</w:t>
      </w:r>
      <w:r w:rsidR="00096892">
        <w:rPr>
          <w:rFonts w:ascii="Arial" w:hAnsi="Arial" w:cs="Arial"/>
          <w:sz w:val="20"/>
          <w:szCs w:val="20"/>
        </w:rPr>
        <w:t>, qui conduit à baisser la puissance de rac</w:t>
      </w:r>
      <w:r w:rsidR="00D83266">
        <w:rPr>
          <w:rFonts w:ascii="Arial" w:hAnsi="Arial" w:cs="Arial"/>
          <w:sz w:val="20"/>
          <w:szCs w:val="20"/>
        </w:rPr>
        <w:t>c</w:t>
      </w:r>
      <w:r w:rsidR="00096892">
        <w:rPr>
          <w:rFonts w:ascii="Arial" w:hAnsi="Arial" w:cs="Arial"/>
          <w:sz w:val="20"/>
          <w:szCs w:val="20"/>
        </w:rPr>
        <w:t>ordement</w:t>
      </w:r>
      <w:r w:rsidR="00D83266">
        <w:rPr>
          <w:rFonts w:ascii="Arial" w:hAnsi="Arial" w:cs="Arial"/>
          <w:sz w:val="20"/>
          <w:szCs w:val="20"/>
        </w:rPr>
        <w:t xml:space="preserve"> dès lors que la puissance de soutirage</w:t>
      </w:r>
      <w:r w:rsidR="00771BF5">
        <w:rPr>
          <w:rFonts w:ascii="Arial" w:hAnsi="Arial" w:cs="Arial"/>
          <w:sz w:val="20"/>
          <w:szCs w:val="20"/>
        </w:rPr>
        <w:t xml:space="preserve"> maximale a été inférieure, dans les deux </w:t>
      </w:r>
      <w:r w:rsidR="00223E83">
        <w:rPr>
          <w:rFonts w:ascii="Arial" w:hAnsi="Arial" w:cs="Arial"/>
          <w:sz w:val="20"/>
          <w:szCs w:val="20"/>
        </w:rPr>
        <w:t xml:space="preserve">ou cinq années antérieures, à </w:t>
      </w:r>
      <w:r w:rsidR="00273F5B">
        <w:rPr>
          <w:rFonts w:ascii="Arial" w:hAnsi="Arial" w:cs="Arial"/>
          <w:sz w:val="20"/>
          <w:szCs w:val="20"/>
        </w:rPr>
        <w:t xml:space="preserve">91 % (100/110) de la </w:t>
      </w:r>
      <w:r w:rsidR="000455CE">
        <w:rPr>
          <w:rFonts w:ascii="Arial" w:hAnsi="Arial" w:cs="Arial"/>
          <w:sz w:val="20"/>
          <w:szCs w:val="20"/>
        </w:rPr>
        <w:t xml:space="preserve">puissance de raccordement initiale </w:t>
      </w:r>
      <w:r w:rsidR="00A85575">
        <w:rPr>
          <w:rFonts w:ascii="Arial" w:hAnsi="Arial" w:cs="Arial"/>
          <w:sz w:val="20"/>
          <w:szCs w:val="20"/>
        </w:rPr>
        <w:t xml:space="preserve">paraît </w:t>
      </w:r>
      <w:r w:rsidR="000455CE">
        <w:rPr>
          <w:rFonts w:ascii="Arial" w:hAnsi="Arial" w:cs="Arial"/>
          <w:sz w:val="20"/>
          <w:szCs w:val="20"/>
        </w:rPr>
        <w:t>in</w:t>
      </w:r>
      <w:r w:rsidR="00A85575">
        <w:rPr>
          <w:rFonts w:ascii="Arial" w:hAnsi="Arial" w:cs="Arial"/>
          <w:sz w:val="20"/>
          <w:szCs w:val="20"/>
        </w:rPr>
        <w:t>adaptée</w:t>
      </w:r>
      <w:r w:rsidR="0032321C">
        <w:rPr>
          <w:rFonts w:ascii="Arial" w:hAnsi="Arial" w:cs="Arial"/>
          <w:sz w:val="20"/>
          <w:szCs w:val="20"/>
        </w:rPr>
        <w:t xml:space="preserve"> </w:t>
      </w:r>
      <w:r w:rsidR="000455CE">
        <w:rPr>
          <w:rFonts w:ascii="Arial" w:hAnsi="Arial" w:cs="Arial"/>
          <w:sz w:val="20"/>
          <w:szCs w:val="20"/>
        </w:rPr>
        <w:t xml:space="preserve">aux </w:t>
      </w:r>
      <w:r w:rsidR="00205AB1">
        <w:rPr>
          <w:rFonts w:ascii="Arial" w:hAnsi="Arial" w:cs="Arial"/>
          <w:sz w:val="20"/>
          <w:szCs w:val="20"/>
        </w:rPr>
        <w:t>site</w:t>
      </w:r>
      <w:r w:rsidR="000455CE">
        <w:rPr>
          <w:rFonts w:ascii="Arial" w:hAnsi="Arial" w:cs="Arial"/>
          <w:sz w:val="20"/>
          <w:szCs w:val="20"/>
        </w:rPr>
        <w:t>s de consommation</w:t>
      </w:r>
      <w:r w:rsidR="0056692B">
        <w:rPr>
          <w:rFonts w:ascii="Arial" w:hAnsi="Arial" w:cs="Arial"/>
          <w:sz w:val="20"/>
          <w:szCs w:val="20"/>
        </w:rPr>
        <w:t xml:space="preserve"> dont l’activité </w:t>
      </w:r>
      <w:r w:rsidR="003F5645">
        <w:rPr>
          <w:rFonts w:ascii="Arial" w:hAnsi="Arial" w:cs="Arial"/>
          <w:sz w:val="20"/>
          <w:szCs w:val="20"/>
        </w:rPr>
        <w:t xml:space="preserve">est </w:t>
      </w:r>
      <w:r w:rsidR="00205AB1">
        <w:rPr>
          <w:rFonts w:ascii="Arial" w:hAnsi="Arial" w:cs="Arial"/>
          <w:sz w:val="20"/>
          <w:szCs w:val="20"/>
        </w:rPr>
        <w:t xml:space="preserve">structurellement en </w:t>
      </w:r>
      <w:r w:rsidR="008D7A2A">
        <w:rPr>
          <w:rFonts w:ascii="Arial" w:hAnsi="Arial" w:cs="Arial"/>
          <w:sz w:val="20"/>
          <w:szCs w:val="20"/>
        </w:rPr>
        <w:t>hausse rapide</w:t>
      </w:r>
      <w:r w:rsidR="0089042C">
        <w:rPr>
          <w:rFonts w:ascii="Arial" w:hAnsi="Arial" w:cs="Arial"/>
          <w:sz w:val="20"/>
          <w:szCs w:val="20"/>
        </w:rPr>
        <w:t> </w:t>
      </w:r>
      <w:r w:rsidR="006B1829">
        <w:rPr>
          <w:rFonts w:ascii="Arial" w:hAnsi="Arial" w:cs="Arial"/>
          <w:sz w:val="20"/>
          <w:szCs w:val="20"/>
        </w:rPr>
        <w:t xml:space="preserve">ou est susceptible d’évoluer </w:t>
      </w:r>
      <w:r w:rsidR="007B536C">
        <w:rPr>
          <w:rFonts w:ascii="Arial" w:hAnsi="Arial" w:cs="Arial"/>
          <w:sz w:val="20"/>
          <w:szCs w:val="20"/>
        </w:rPr>
        <w:t>de façon discontinue</w:t>
      </w:r>
      <w:r w:rsidR="000A0FD1">
        <w:rPr>
          <w:rFonts w:ascii="Arial" w:hAnsi="Arial" w:cs="Arial"/>
          <w:sz w:val="20"/>
          <w:szCs w:val="20"/>
        </w:rPr>
        <w:t xml:space="preserve">, </w:t>
      </w:r>
      <w:r w:rsidR="006B1829">
        <w:rPr>
          <w:rFonts w:ascii="Arial" w:hAnsi="Arial" w:cs="Arial"/>
          <w:sz w:val="20"/>
          <w:szCs w:val="20"/>
        </w:rPr>
        <w:t xml:space="preserve">par </w:t>
      </w:r>
      <w:r w:rsidR="0089141E">
        <w:rPr>
          <w:rFonts w:ascii="Arial" w:hAnsi="Arial" w:cs="Arial"/>
          <w:sz w:val="20"/>
          <w:szCs w:val="20"/>
        </w:rPr>
        <w:t>blocs</w:t>
      </w:r>
      <w:r w:rsidR="000A0FD1">
        <w:rPr>
          <w:rFonts w:ascii="Arial" w:hAnsi="Arial" w:cs="Arial"/>
          <w:sz w:val="20"/>
          <w:szCs w:val="20"/>
        </w:rPr>
        <w:t xml:space="preserve"> ou marches d’escalier</w:t>
      </w:r>
      <w:r w:rsidR="0089141E">
        <w:rPr>
          <w:rFonts w:ascii="Arial" w:hAnsi="Arial" w:cs="Arial"/>
          <w:sz w:val="20"/>
          <w:szCs w:val="20"/>
        </w:rPr>
        <w:t xml:space="preserve"> </w:t>
      </w:r>
      <w:r w:rsidR="0089042C">
        <w:rPr>
          <w:rFonts w:ascii="Arial" w:hAnsi="Arial" w:cs="Arial"/>
          <w:sz w:val="20"/>
          <w:szCs w:val="20"/>
        </w:rPr>
        <w:t>; on p</w:t>
      </w:r>
      <w:r w:rsidR="0089141E">
        <w:rPr>
          <w:rFonts w:ascii="Arial" w:hAnsi="Arial" w:cs="Arial"/>
          <w:sz w:val="20"/>
          <w:szCs w:val="20"/>
        </w:rPr>
        <w:t>ense notamment ici aux électrol</w:t>
      </w:r>
      <w:r w:rsidR="00CB5E1B">
        <w:rPr>
          <w:rFonts w:ascii="Arial" w:hAnsi="Arial" w:cs="Arial"/>
          <w:sz w:val="20"/>
          <w:szCs w:val="20"/>
        </w:rPr>
        <w:t xml:space="preserve">yseurs </w:t>
      </w:r>
      <w:r w:rsidR="00917F2E">
        <w:rPr>
          <w:rFonts w:ascii="Arial" w:hAnsi="Arial" w:cs="Arial"/>
          <w:sz w:val="20"/>
          <w:szCs w:val="20"/>
        </w:rPr>
        <w:t xml:space="preserve">et </w:t>
      </w:r>
      <w:r w:rsidR="00CB5E1B">
        <w:rPr>
          <w:rFonts w:ascii="Arial" w:hAnsi="Arial" w:cs="Arial"/>
          <w:sz w:val="20"/>
          <w:szCs w:val="20"/>
        </w:rPr>
        <w:t xml:space="preserve">aux installations de recharge des véhicules électriques </w:t>
      </w:r>
      <w:r w:rsidR="00917F2E">
        <w:rPr>
          <w:rFonts w:ascii="Arial" w:hAnsi="Arial" w:cs="Arial"/>
          <w:sz w:val="20"/>
          <w:szCs w:val="20"/>
        </w:rPr>
        <w:t>dont la montée en puissance se fait sur plusieurs années par ajouts de nouveaux équipements.</w:t>
      </w:r>
    </w:p>
    <w:p w14:paraId="6447BF36" w14:textId="77777777" w:rsidR="0042774D" w:rsidRDefault="0042774D" w:rsidP="000977C9">
      <w:pPr>
        <w:spacing w:after="0"/>
        <w:jc w:val="both"/>
        <w:rPr>
          <w:rFonts w:ascii="Arial" w:hAnsi="Arial" w:cs="Arial"/>
          <w:sz w:val="20"/>
          <w:szCs w:val="20"/>
        </w:rPr>
      </w:pPr>
    </w:p>
    <w:p w14:paraId="07F09892" w14:textId="77777777" w:rsidR="00F73909" w:rsidRDefault="0042774D" w:rsidP="000977C9">
      <w:pPr>
        <w:spacing w:after="0"/>
        <w:jc w:val="both"/>
        <w:rPr>
          <w:rFonts w:ascii="Arial" w:hAnsi="Arial" w:cs="Arial"/>
          <w:sz w:val="20"/>
          <w:szCs w:val="20"/>
        </w:rPr>
      </w:pPr>
      <w:r>
        <w:rPr>
          <w:rFonts w:ascii="Arial" w:hAnsi="Arial" w:cs="Arial"/>
          <w:sz w:val="20"/>
          <w:szCs w:val="20"/>
        </w:rPr>
        <w:t>Pour ces installations au moins</w:t>
      </w:r>
      <w:r w:rsidR="0022114D">
        <w:rPr>
          <w:rFonts w:ascii="Arial" w:hAnsi="Arial" w:cs="Arial"/>
          <w:sz w:val="20"/>
          <w:szCs w:val="20"/>
        </w:rPr>
        <w:t xml:space="preserve">, qui sont susceptibles d’augmenter très fortement </w:t>
      </w:r>
      <w:r w:rsidR="005129CF">
        <w:rPr>
          <w:rFonts w:ascii="Arial" w:hAnsi="Arial" w:cs="Arial"/>
          <w:sz w:val="20"/>
          <w:szCs w:val="20"/>
        </w:rPr>
        <w:t>l</w:t>
      </w:r>
      <w:r w:rsidR="00534C81">
        <w:rPr>
          <w:rFonts w:ascii="Arial" w:hAnsi="Arial" w:cs="Arial"/>
          <w:sz w:val="20"/>
          <w:szCs w:val="20"/>
        </w:rPr>
        <w:t>a puissance appelée d’une année sur l’autre</w:t>
      </w:r>
      <w:r w:rsidR="0074273C">
        <w:rPr>
          <w:rFonts w:ascii="Arial" w:hAnsi="Arial" w:cs="Arial"/>
          <w:sz w:val="20"/>
          <w:szCs w:val="20"/>
        </w:rPr>
        <w:t>, un pourcentage de 125 % serait probablement plus adapté au profil d’évolution de l’act</w:t>
      </w:r>
      <w:r w:rsidR="00F73909">
        <w:rPr>
          <w:rFonts w:ascii="Arial" w:hAnsi="Arial" w:cs="Arial"/>
          <w:sz w:val="20"/>
          <w:szCs w:val="20"/>
        </w:rPr>
        <w:t>ivité.</w:t>
      </w:r>
    </w:p>
    <w:p w14:paraId="0C2006FE" w14:textId="77777777" w:rsidR="00F73909" w:rsidRDefault="00F73909" w:rsidP="000977C9">
      <w:pPr>
        <w:spacing w:after="0"/>
        <w:jc w:val="both"/>
        <w:rPr>
          <w:rFonts w:ascii="Arial" w:hAnsi="Arial" w:cs="Arial"/>
          <w:sz w:val="20"/>
          <w:szCs w:val="20"/>
        </w:rPr>
      </w:pPr>
    </w:p>
    <w:p w14:paraId="11B63FDD" w14:textId="77777777" w:rsidR="000771A0" w:rsidRPr="00950DD6" w:rsidRDefault="000771A0" w:rsidP="001D2D1C">
      <w:pPr>
        <w:jc w:val="both"/>
        <w:rPr>
          <w:rFonts w:ascii="Arial" w:hAnsi="Arial" w:cs="Arial"/>
          <w:b/>
          <w:bCs/>
          <w:i/>
          <w:iCs/>
          <w:color w:val="2F5496" w:themeColor="accent1" w:themeShade="BF"/>
          <w:sz w:val="20"/>
          <w:szCs w:val="20"/>
        </w:rPr>
      </w:pPr>
    </w:p>
    <w:p w14:paraId="3079F8F1" w14:textId="56DA59DC"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3 : Etes-vous favorable aux périodes de 2 et 5 ans définies pour déterminer les paramètres de la formule ?</w:t>
      </w:r>
    </w:p>
    <w:p w14:paraId="65C33016" w14:textId="36BC8243" w:rsidR="00FB1167" w:rsidRDefault="0021792B" w:rsidP="000977C9">
      <w:pPr>
        <w:spacing w:after="0"/>
        <w:jc w:val="both"/>
        <w:rPr>
          <w:rFonts w:ascii="Arial" w:hAnsi="Arial" w:cs="Arial"/>
          <w:sz w:val="20"/>
          <w:szCs w:val="20"/>
        </w:rPr>
      </w:pPr>
      <w:r>
        <w:rPr>
          <w:rFonts w:ascii="Arial" w:hAnsi="Arial" w:cs="Arial"/>
          <w:sz w:val="20"/>
          <w:szCs w:val="20"/>
        </w:rPr>
        <w:t xml:space="preserve">Pour les activités en croissance </w:t>
      </w:r>
      <w:r w:rsidR="008253AE">
        <w:rPr>
          <w:rFonts w:ascii="Arial" w:hAnsi="Arial" w:cs="Arial"/>
          <w:sz w:val="20"/>
          <w:szCs w:val="20"/>
        </w:rPr>
        <w:t>structurelle,</w:t>
      </w:r>
      <w:r w:rsidR="00BE6D14">
        <w:rPr>
          <w:rFonts w:ascii="Arial" w:hAnsi="Arial" w:cs="Arial"/>
          <w:sz w:val="20"/>
          <w:szCs w:val="20"/>
        </w:rPr>
        <w:t xml:space="preserve"> le déla</w:t>
      </w:r>
      <w:r w:rsidR="00FB1167">
        <w:rPr>
          <w:rFonts w:ascii="Arial" w:hAnsi="Arial" w:cs="Arial"/>
          <w:sz w:val="20"/>
          <w:szCs w:val="20"/>
        </w:rPr>
        <w:t>i</w:t>
      </w:r>
      <w:r w:rsidR="00BE6D14">
        <w:rPr>
          <w:rFonts w:ascii="Arial" w:hAnsi="Arial" w:cs="Arial"/>
          <w:sz w:val="20"/>
          <w:szCs w:val="20"/>
        </w:rPr>
        <w:t xml:space="preserve"> à partir duquel l’évolution est mesurée est relativement indifférent.</w:t>
      </w:r>
      <w:r w:rsidR="008253AE">
        <w:rPr>
          <w:rFonts w:ascii="Arial" w:hAnsi="Arial" w:cs="Arial"/>
          <w:sz w:val="20"/>
          <w:szCs w:val="20"/>
        </w:rPr>
        <w:t xml:space="preserve"> </w:t>
      </w:r>
    </w:p>
    <w:p w14:paraId="36142CB0" w14:textId="388F97A7" w:rsidR="00D07281" w:rsidRDefault="00F96EB9" w:rsidP="000977C9">
      <w:pPr>
        <w:spacing w:after="0"/>
        <w:jc w:val="both"/>
        <w:rPr>
          <w:rFonts w:ascii="Arial" w:hAnsi="Arial" w:cs="Arial"/>
          <w:sz w:val="20"/>
          <w:szCs w:val="20"/>
        </w:rPr>
      </w:pPr>
      <w:r w:rsidRPr="13B1DB59">
        <w:rPr>
          <w:rFonts w:ascii="Arial" w:hAnsi="Arial" w:cs="Arial"/>
          <w:sz w:val="20"/>
          <w:szCs w:val="20"/>
        </w:rPr>
        <w:t xml:space="preserve">Il existe en revanche des activités </w:t>
      </w:r>
      <w:r w:rsidR="003A4BAE" w:rsidRPr="13B1DB59">
        <w:rPr>
          <w:rFonts w:ascii="Arial" w:hAnsi="Arial" w:cs="Arial"/>
          <w:sz w:val="20"/>
          <w:szCs w:val="20"/>
        </w:rPr>
        <w:t>de nature</w:t>
      </w:r>
      <w:r w:rsidR="00FB63CC" w:rsidRPr="13B1DB59">
        <w:rPr>
          <w:rFonts w:ascii="Arial" w:hAnsi="Arial" w:cs="Arial"/>
          <w:sz w:val="20"/>
          <w:szCs w:val="20"/>
        </w:rPr>
        <w:t xml:space="preserve"> cyclique</w:t>
      </w:r>
      <w:r w:rsidR="00485739" w:rsidRPr="13B1DB59">
        <w:rPr>
          <w:rFonts w:ascii="Arial" w:hAnsi="Arial" w:cs="Arial"/>
          <w:sz w:val="20"/>
          <w:szCs w:val="20"/>
        </w:rPr>
        <w:t>, connaissant des hauts et des bas</w:t>
      </w:r>
      <w:r w:rsidR="00713330" w:rsidRPr="13B1DB59">
        <w:rPr>
          <w:rFonts w:ascii="Arial" w:hAnsi="Arial" w:cs="Arial"/>
          <w:sz w:val="20"/>
          <w:szCs w:val="20"/>
        </w:rPr>
        <w:t xml:space="preserve">, </w:t>
      </w:r>
      <w:r w:rsidR="003E2617" w:rsidRPr="13B1DB59">
        <w:rPr>
          <w:rFonts w:ascii="Arial" w:hAnsi="Arial" w:cs="Arial"/>
          <w:sz w:val="20"/>
          <w:szCs w:val="20"/>
        </w:rPr>
        <w:t xml:space="preserve">qui </w:t>
      </w:r>
      <w:r w:rsidR="004F6EBC" w:rsidRPr="13B1DB59">
        <w:rPr>
          <w:rFonts w:ascii="Arial" w:hAnsi="Arial" w:cs="Arial"/>
          <w:sz w:val="20"/>
          <w:szCs w:val="20"/>
        </w:rPr>
        <w:t>pâtiraient</w:t>
      </w:r>
      <w:r w:rsidR="003E2617" w:rsidRPr="13B1DB59">
        <w:rPr>
          <w:rFonts w:ascii="Arial" w:hAnsi="Arial" w:cs="Arial"/>
          <w:sz w:val="20"/>
          <w:szCs w:val="20"/>
        </w:rPr>
        <w:t xml:space="preserve"> d</w:t>
      </w:r>
      <w:r w:rsidR="004F6EBC" w:rsidRPr="13B1DB59">
        <w:rPr>
          <w:rFonts w:ascii="Arial" w:hAnsi="Arial" w:cs="Arial"/>
          <w:sz w:val="20"/>
          <w:szCs w:val="20"/>
        </w:rPr>
        <w:t>’</w:t>
      </w:r>
      <w:r w:rsidR="00713330" w:rsidRPr="13B1DB59">
        <w:rPr>
          <w:rFonts w:ascii="Arial" w:hAnsi="Arial" w:cs="Arial"/>
          <w:sz w:val="20"/>
          <w:szCs w:val="20"/>
        </w:rPr>
        <w:t>une ad</w:t>
      </w:r>
      <w:r w:rsidR="00422890" w:rsidRPr="13B1DB59">
        <w:rPr>
          <w:rFonts w:ascii="Arial" w:hAnsi="Arial" w:cs="Arial"/>
          <w:sz w:val="20"/>
          <w:szCs w:val="20"/>
        </w:rPr>
        <w:t>aptation de l</w:t>
      </w:r>
      <w:r w:rsidR="004F6EBC" w:rsidRPr="13B1DB59">
        <w:rPr>
          <w:rFonts w:ascii="Arial" w:hAnsi="Arial" w:cs="Arial"/>
          <w:sz w:val="20"/>
          <w:szCs w:val="20"/>
        </w:rPr>
        <w:t>eur</w:t>
      </w:r>
      <w:r w:rsidR="00422890" w:rsidRPr="13B1DB59">
        <w:rPr>
          <w:rFonts w:ascii="Arial" w:hAnsi="Arial" w:cs="Arial"/>
          <w:sz w:val="20"/>
          <w:szCs w:val="20"/>
        </w:rPr>
        <w:t xml:space="preserve"> puissance</w:t>
      </w:r>
      <w:r w:rsidR="004F6EBC" w:rsidRPr="13B1DB59">
        <w:rPr>
          <w:rFonts w:ascii="Arial" w:hAnsi="Arial" w:cs="Arial"/>
          <w:sz w:val="20"/>
          <w:szCs w:val="20"/>
        </w:rPr>
        <w:t xml:space="preserve"> de raccordement</w:t>
      </w:r>
      <w:r w:rsidR="00422890" w:rsidRPr="13B1DB59">
        <w:rPr>
          <w:rFonts w:ascii="Arial" w:hAnsi="Arial" w:cs="Arial"/>
          <w:sz w:val="20"/>
          <w:szCs w:val="20"/>
        </w:rPr>
        <w:t xml:space="preserve"> sur la base des seules deux ou cinq dernières années</w:t>
      </w:r>
      <w:r w:rsidR="00FB0F85" w:rsidRPr="13B1DB59">
        <w:rPr>
          <w:rFonts w:ascii="Arial" w:hAnsi="Arial" w:cs="Arial"/>
          <w:sz w:val="20"/>
          <w:szCs w:val="20"/>
        </w:rPr>
        <w:t xml:space="preserve"> si cette durée est inférieure au cycle</w:t>
      </w:r>
      <w:r w:rsidR="002E35C9" w:rsidRPr="13B1DB59">
        <w:rPr>
          <w:rFonts w:ascii="Arial" w:hAnsi="Arial" w:cs="Arial"/>
          <w:sz w:val="20"/>
          <w:szCs w:val="20"/>
        </w:rPr>
        <w:t xml:space="preserve"> ; et </w:t>
      </w:r>
      <w:r w:rsidR="000435DA" w:rsidRPr="13B1DB59">
        <w:rPr>
          <w:rFonts w:ascii="Arial" w:hAnsi="Arial" w:cs="Arial"/>
          <w:sz w:val="20"/>
          <w:szCs w:val="20"/>
        </w:rPr>
        <w:t>d</w:t>
      </w:r>
      <w:r w:rsidR="00FB0F85" w:rsidRPr="13B1DB59">
        <w:rPr>
          <w:rFonts w:ascii="Arial" w:hAnsi="Arial" w:cs="Arial"/>
          <w:sz w:val="20"/>
          <w:szCs w:val="20"/>
        </w:rPr>
        <w:t>es sites</w:t>
      </w:r>
      <w:r w:rsidR="000435DA" w:rsidRPr="13B1DB59">
        <w:rPr>
          <w:rFonts w:ascii="Arial" w:hAnsi="Arial" w:cs="Arial"/>
          <w:sz w:val="20"/>
          <w:szCs w:val="20"/>
        </w:rPr>
        <w:t xml:space="preserve"> qui connaissent </w:t>
      </w:r>
      <w:r w:rsidR="00594014" w:rsidRPr="13B1DB59">
        <w:rPr>
          <w:rFonts w:ascii="Arial" w:hAnsi="Arial" w:cs="Arial"/>
          <w:sz w:val="20"/>
          <w:szCs w:val="20"/>
        </w:rPr>
        <w:t xml:space="preserve">de fortes variations </w:t>
      </w:r>
      <w:r w:rsidR="00984D53" w:rsidRPr="13B1DB59">
        <w:rPr>
          <w:rFonts w:ascii="Arial" w:hAnsi="Arial" w:cs="Arial"/>
          <w:sz w:val="20"/>
          <w:szCs w:val="20"/>
        </w:rPr>
        <w:t xml:space="preserve">sur des durées susceptibles de dépasser cinq ans. Ainsi en va-t-il par exemple des sites de production pour l’alimentation de leurs auxiliaires, </w:t>
      </w:r>
      <w:r w:rsidR="00FD70AA" w:rsidRPr="13B1DB59">
        <w:rPr>
          <w:rFonts w:ascii="Arial" w:hAnsi="Arial" w:cs="Arial"/>
          <w:sz w:val="20"/>
          <w:szCs w:val="20"/>
        </w:rPr>
        <w:t>auxiliaires qui app</w:t>
      </w:r>
      <w:r w:rsidR="00D96723" w:rsidRPr="13B1DB59">
        <w:rPr>
          <w:rFonts w:ascii="Arial" w:hAnsi="Arial" w:cs="Arial"/>
          <w:sz w:val="20"/>
          <w:szCs w:val="20"/>
        </w:rPr>
        <w:t>ellent</w:t>
      </w:r>
      <w:r w:rsidR="00984D53" w:rsidRPr="13B1DB59">
        <w:rPr>
          <w:rFonts w:ascii="Arial" w:hAnsi="Arial" w:cs="Arial"/>
          <w:sz w:val="20"/>
          <w:szCs w:val="20"/>
        </w:rPr>
        <w:t xml:space="preserve"> généralement </w:t>
      </w:r>
      <w:r w:rsidR="00D96723" w:rsidRPr="13B1DB59">
        <w:rPr>
          <w:rFonts w:ascii="Arial" w:hAnsi="Arial" w:cs="Arial"/>
          <w:sz w:val="20"/>
          <w:szCs w:val="20"/>
        </w:rPr>
        <w:t xml:space="preserve">une puissance </w:t>
      </w:r>
      <w:r w:rsidR="00984D53" w:rsidRPr="13B1DB59">
        <w:rPr>
          <w:rFonts w:ascii="Arial" w:hAnsi="Arial" w:cs="Arial"/>
          <w:sz w:val="20"/>
          <w:szCs w:val="20"/>
        </w:rPr>
        <w:t>très faible au regard de l</w:t>
      </w:r>
      <w:r w:rsidR="00301146" w:rsidRPr="13B1DB59">
        <w:rPr>
          <w:rFonts w:ascii="Arial" w:hAnsi="Arial" w:cs="Arial"/>
          <w:sz w:val="20"/>
          <w:szCs w:val="20"/>
        </w:rPr>
        <w:t>a</w:t>
      </w:r>
      <w:r w:rsidR="00984D53" w:rsidRPr="13B1DB59">
        <w:rPr>
          <w:rFonts w:ascii="Arial" w:hAnsi="Arial" w:cs="Arial"/>
          <w:sz w:val="20"/>
          <w:szCs w:val="20"/>
        </w:rPr>
        <w:t xml:space="preserve"> puissance en injection, voire nulle en cas d’auto-alimentation par la centrale de production ou d’alimentation par le réseau de distribution (pour les centrales qui injectent sur le réseau de transport), </w:t>
      </w:r>
      <w:r w:rsidR="008673DB" w:rsidRPr="13B1DB59">
        <w:rPr>
          <w:rFonts w:ascii="Arial" w:hAnsi="Arial" w:cs="Arial"/>
          <w:sz w:val="20"/>
          <w:szCs w:val="20"/>
        </w:rPr>
        <w:t>mais dont la puissance soutirée</w:t>
      </w:r>
      <w:r w:rsidR="00D07281" w:rsidRPr="13B1DB59">
        <w:rPr>
          <w:rFonts w:ascii="Arial" w:hAnsi="Arial" w:cs="Arial"/>
          <w:sz w:val="20"/>
          <w:szCs w:val="20"/>
        </w:rPr>
        <w:t xml:space="preserve"> </w:t>
      </w:r>
      <w:r w:rsidR="00984D53" w:rsidRPr="13B1DB59">
        <w:rPr>
          <w:rFonts w:ascii="Arial" w:hAnsi="Arial" w:cs="Arial"/>
          <w:sz w:val="20"/>
          <w:szCs w:val="20"/>
        </w:rPr>
        <w:t xml:space="preserve">peut </w:t>
      </w:r>
      <w:r w:rsidR="00D07281" w:rsidRPr="13B1DB59">
        <w:rPr>
          <w:rFonts w:ascii="Arial" w:hAnsi="Arial" w:cs="Arial"/>
          <w:sz w:val="20"/>
          <w:szCs w:val="20"/>
        </w:rPr>
        <w:t xml:space="preserve">néanmoins </w:t>
      </w:r>
      <w:r w:rsidR="00984D53" w:rsidRPr="13B1DB59">
        <w:rPr>
          <w:rFonts w:ascii="Arial" w:hAnsi="Arial" w:cs="Arial"/>
          <w:sz w:val="20"/>
          <w:szCs w:val="20"/>
        </w:rPr>
        <w:t>être</w:t>
      </w:r>
      <w:r w:rsidR="00D07281" w:rsidRPr="13B1DB59">
        <w:rPr>
          <w:rFonts w:ascii="Arial" w:hAnsi="Arial" w:cs="Arial"/>
          <w:sz w:val="20"/>
          <w:szCs w:val="20"/>
        </w:rPr>
        <w:t xml:space="preserve"> très</w:t>
      </w:r>
      <w:r w:rsidR="00984D53" w:rsidRPr="13B1DB59">
        <w:rPr>
          <w:rFonts w:ascii="Arial" w:hAnsi="Arial" w:cs="Arial"/>
          <w:sz w:val="20"/>
          <w:szCs w:val="20"/>
        </w:rPr>
        <w:t xml:space="preserve"> variable, et présenter, à diverses </w:t>
      </w:r>
      <w:r w:rsidR="00984D53" w:rsidRPr="13B1DB59">
        <w:rPr>
          <w:rFonts w:ascii="Arial" w:hAnsi="Arial" w:cs="Arial"/>
          <w:sz w:val="20"/>
          <w:szCs w:val="20"/>
        </w:rPr>
        <w:lastRenderedPageBreak/>
        <w:t>occasions</w:t>
      </w:r>
      <w:r w:rsidR="47C310E7" w:rsidRPr="13B1DB59">
        <w:rPr>
          <w:rFonts w:ascii="Arial" w:hAnsi="Arial" w:cs="Arial"/>
          <w:sz w:val="20"/>
          <w:szCs w:val="20"/>
        </w:rPr>
        <w:t>, des pics ponctuels.</w:t>
      </w:r>
      <w:r w:rsidR="00984D53" w:rsidRPr="13B1DB59">
        <w:rPr>
          <w:rFonts w:ascii="Arial" w:hAnsi="Arial" w:cs="Arial"/>
          <w:sz w:val="20"/>
          <w:szCs w:val="20"/>
        </w:rPr>
        <w:t xml:space="preserve"> </w:t>
      </w:r>
      <w:r w:rsidR="238B6CC5" w:rsidRPr="13B1DB59">
        <w:rPr>
          <w:rFonts w:ascii="Arial" w:hAnsi="Arial" w:cs="Arial"/>
          <w:sz w:val="20"/>
          <w:szCs w:val="20"/>
        </w:rPr>
        <w:t>C’est notamment le cas des CNPE</w:t>
      </w:r>
      <w:r w:rsidR="6ACDB2FF" w:rsidRPr="13B1DB59">
        <w:rPr>
          <w:rFonts w:ascii="Arial" w:hAnsi="Arial" w:cs="Arial"/>
          <w:sz w:val="20"/>
          <w:szCs w:val="20"/>
        </w:rPr>
        <w:t xml:space="preserve"> l</w:t>
      </w:r>
      <w:r w:rsidR="238B6CC5" w:rsidRPr="13B1DB59">
        <w:rPr>
          <w:rFonts w:ascii="Arial" w:hAnsi="Arial" w:cs="Arial"/>
          <w:sz w:val="20"/>
          <w:szCs w:val="20"/>
        </w:rPr>
        <w:t>ors des premiers jours de mise à l’arrêt d’un réacteur pour rechargement, ou lors des derniers jours de cet arrêt, ou bien encore lors d’arrêts fortuits ou pour équilibre offre – demande</w:t>
      </w:r>
      <w:r w:rsidR="00B70618">
        <w:rPr>
          <w:rFonts w:ascii="Arial" w:hAnsi="Arial" w:cs="Arial"/>
          <w:sz w:val="20"/>
          <w:szCs w:val="20"/>
        </w:rPr>
        <w:t>.</w:t>
      </w:r>
      <w:r w:rsidR="238B6CC5" w:rsidRPr="13B1DB59">
        <w:rPr>
          <w:rFonts w:ascii="Arial" w:hAnsi="Arial" w:cs="Arial"/>
          <w:sz w:val="20"/>
          <w:szCs w:val="20"/>
        </w:rPr>
        <w:t xml:space="preserve"> </w:t>
      </w:r>
      <w:r w:rsidR="1F2195E6" w:rsidRPr="13B1DB59">
        <w:rPr>
          <w:rFonts w:ascii="Arial" w:hAnsi="Arial" w:cs="Arial"/>
          <w:sz w:val="20"/>
          <w:szCs w:val="20"/>
        </w:rPr>
        <w:t xml:space="preserve">A ces occasions, il arrive que </w:t>
      </w:r>
      <w:r w:rsidR="238B6CC5" w:rsidRPr="13B1DB59">
        <w:rPr>
          <w:rFonts w:ascii="Arial" w:hAnsi="Arial" w:cs="Arial"/>
          <w:sz w:val="20"/>
          <w:szCs w:val="20"/>
        </w:rPr>
        <w:t xml:space="preserve">la puissance appelée par les auxiliaires </w:t>
      </w:r>
      <w:r w:rsidR="057BA3DC" w:rsidRPr="13B1DB59">
        <w:rPr>
          <w:rFonts w:ascii="Arial" w:hAnsi="Arial" w:cs="Arial"/>
          <w:sz w:val="20"/>
          <w:szCs w:val="20"/>
        </w:rPr>
        <w:t>soit</w:t>
      </w:r>
      <w:r w:rsidR="238B6CC5" w:rsidRPr="13B1DB59">
        <w:rPr>
          <w:rFonts w:ascii="Arial" w:hAnsi="Arial" w:cs="Arial"/>
          <w:sz w:val="20"/>
          <w:szCs w:val="20"/>
        </w:rPr>
        <w:t xml:space="preserve"> proche du maximum théorique.</w:t>
      </w:r>
      <w:r w:rsidR="00984D53" w:rsidRPr="13B1DB59">
        <w:rPr>
          <w:rFonts w:ascii="Arial" w:hAnsi="Arial" w:cs="Arial"/>
          <w:sz w:val="20"/>
          <w:szCs w:val="20"/>
        </w:rPr>
        <w:t xml:space="preserve"> Tout dispositif de réduction de la puissance de raccordement avec une période d’examen trop courte (inférieure à l’échéance décennale) pourrait poser des problèmes. </w:t>
      </w:r>
    </w:p>
    <w:p w14:paraId="1701AEF9" w14:textId="77777777" w:rsidR="00D07281" w:rsidRDefault="00D07281" w:rsidP="000977C9">
      <w:pPr>
        <w:spacing w:after="0"/>
        <w:jc w:val="both"/>
        <w:rPr>
          <w:rFonts w:ascii="Arial" w:hAnsi="Arial" w:cs="Arial"/>
          <w:sz w:val="20"/>
          <w:szCs w:val="20"/>
        </w:rPr>
      </w:pPr>
    </w:p>
    <w:p w14:paraId="0DFC3D84" w14:textId="77777777" w:rsidR="000771A0" w:rsidRPr="00C55D16" w:rsidRDefault="000771A0" w:rsidP="001D2D1C">
      <w:pPr>
        <w:jc w:val="both"/>
        <w:rPr>
          <w:rFonts w:ascii="Arial" w:hAnsi="Arial" w:cs="Arial"/>
          <w:i/>
          <w:iCs/>
          <w:sz w:val="20"/>
          <w:szCs w:val="20"/>
        </w:rPr>
      </w:pPr>
    </w:p>
    <w:p w14:paraId="524FFE15" w14:textId="649A4955"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4 : Etes-vous favorable à ce que la valeur de la puissance de raccordement, dès lors qu’elle a été modifiée, soit mise à jour annuellement et mise à disposition de l’utilisateur par le gestionnaire de réseau ?</w:t>
      </w:r>
    </w:p>
    <w:p w14:paraId="20920403" w14:textId="77B9A939" w:rsidR="00746C36" w:rsidRPr="001B7119" w:rsidRDefault="00746C36" w:rsidP="000977C9">
      <w:pPr>
        <w:spacing w:after="0"/>
        <w:jc w:val="both"/>
        <w:rPr>
          <w:rFonts w:ascii="Arial" w:hAnsi="Arial" w:cs="Arial"/>
          <w:sz w:val="20"/>
          <w:szCs w:val="20"/>
        </w:rPr>
      </w:pPr>
      <w:r>
        <w:rPr>
          <w:rFonts w:ascii="Arial" w:hAnsi="Arial" w:cs="Arial"/>
          <w:sz w:val="20"/>
          <w:szCs w:val="20"/>
        </w:rPr>
        <w:t>Sous réserve des observations déjà exprimées dans les réponses aux questions précédentes, une mise à jour annuelle</w:t>
      </w:r>
      <w:r w:rsidR="008129BC">
        <w:rPr>
          <w:rFonts w:ascii="Arial" w:hAnsi="Arial" w:cs="Arial"/>
          <w:sz w:val="20"/>
          <w:szCs w:val="20"/>
        </w:rPr>
        <w:t xml:space="preserve"> des puissances de raccordement </w:t>
      </w:r>
      <w:r w:rsidR="008E746A">
        <w:rPr>
          <w:rFonts w:ascii="Arial" w:hAnsi="Arial" w:cs="Arial"/>
          <w:sz w:val="20"/>
          <w:szCs w:val="20"/>
        </w:rPr>
        <w:t xml:space="preserve">permet d’optimiser </w:t>
      </w:r>
      <w:r w:rsidR="003D75D6">
        <w:rPr>
          <w:rFonts w:ascii="Arial" w:hAnsi="Arial" w:cs="Arial"/>
          <w:sz w:val="20"/>
          <w:szCs w:val="20"/>
        </w:rPr>
        <w:t>l’utilisation du réseau, notamment dans les zones particulièrement concernées</w:t>
      </w:r>
      <w:r w:rsidR="001B7119">
        <w:rPr>
          <w:rFonts w:ascii="Arial" w:hAnsi="Arial" w:cs="Arial"/>
          <w:sz w:val="20"/>
          <w:szCs w:val="20"/>
        </w:rPr>
        <w:t xml:space="preserve"> par le développement de nouvelles installations.</w:t>
      </w:r>
    </w:p>
    <w:p w14:paraId="7DFA6F44" w14:textId="77777777" w:rsidR="00746C36" w:rsidRPr="001B7119" w:rsidRDefault="00746C36" w:rsidP="000977C9">
      <w:pPr>
        <w:spacing w:after="0"/>
        <w:jc w:val="both"/>
        <w:rPr>
          <w:rFonts w:ascii="Arial" w:hAnsi="Arial" w:cs="Arial"/>
          <w:sz w:val="20"/>
          <w:szCs w:val="20"/>
        </w:rPr>
      </w:pPr>
    </w:p>
    <w:p w14:paraId="7D91B507" w14:textId="4F0C7BFF" w:rsidR="000771A0" w:rsidRPr="001B7119" w:rsidRDefault="000977C9" w:rsidP="000977C9">
      <w:pPr>
        <w:spacing w:after="0"/>
        <w:jc w:val="both"/>
        <w:rPr>
          <w:rFonts w:ascii="Arial" w:hAnsi="Arial" w:cs="Arial"/>
          <w:sz w:val="20"/>
          <w:szCs w:val="20"/>
        </w:rPr>
      </w:pPr>
      <w:r w:rsidRPr="001B7119">
        <w:rPr>
          <w:rFonts w:ascii="Arial" w:hAnsi="Arial" w:cs="Arial"/>
          <w:sz w:val="20"/>
          <w:szCs w:val="20"/>
        </w:rPr>
        <w:t>Pour les autres zones, il faut évaluer si la charge de travail que cela génèrerait se valorise par rapport aux résultats obtenus. A la fin, les surcoûts de procédure que va entrainer la mise en œuvre de ces nouvelles règles va se répercuter sur la facture des consommateurs.</w:t>
      </w:r>
    </w:p>
    <w:p w14:paraId="3AA96369" w14:textId="77777777" w:rsidR="000771A0" w:rsidRDefault="000771A0" w:rsidP="001D2D1C">
      <w:pPr>
        <w:jc w:val="both"/>
        <w:rPr>
          <w:rFonts w:ascii="Arial" w:hAnsi="Arial" w:cs="Arial"/>
          <w:i/>
          <w:iCs/>
          <w:color w:val="2F5496" w:themeColor="accent1" w:themeShade="BF"/>
          <w:sz w:val="20"/>
          <w:szCs w:val="20"/>
        </w:rPr>
      </w:pPr>
    </w:p>
    <w:p w14:paraId="61D33EDF" w14:textId="59DAD1A4"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5 : Etes-vous favorable à la durée à partir de laquelle la modification de la puissance de raccordement peut s’appliquer aux nouvelles installations (2 ans pour la distribution et 5 ans pour le transport) ?</w:t>
      </w:r>
    </w:p>
    <w:p w14:paraId="3DFA0B58" w14:textId="52AF5214" w:rsidR="00DB08C0" w:rsidRDefault="00223E36" w:rsidP="00DD4F4E">
      <w:pPr>
        <w:jc w:val="both"/>
        <w:rPr>
          <w:rFonts w:ascii="Arial" w:hAnsi="Arial" w:cs="Arial"/>
          <w:sz w:val="20"/>
          <w:szCs w:val="20"/>
        </w:rPr>
      </w:pPr>
      <w:r>
        <w:rPr>
          <w:rFonts w:ascii="Arial" w:hAnsi="Arial" w:cs="Arial"/>
          <w:sz w:val="20"/>
          <w:szCs w:val="20"/>
        </w:rPr>
        <w:t>C</w:t>
      </w:r>
      <w:r w:rsidR="00DD4F4E" w:rsidRPr="00DD4F4E">
        <w:rPr>
          <w:rFonts w:ascii="Arial" w:hAnsi="Arial" w:cs="Arial"/>
          <w:sz w:val="20"/>
          <w:szCs w:val="20"/>
        </w:rPr>
        <w:t xml:space="preserve">ertains </w:t>
      </w:r>
      <w:r>
        <w:rPr>
          <w:rFonts w:ascii="Arial" w:hAnsi="Arial" w:cs="Arial"/>
          <w:sz w:val="20"/>
          <w:szCs w:val="20"/>
        </w:rPr>
        <w:t>équipements (</w:t>
      </w:r>
      <w:r w:rsidR="00562FBE">
        <w:rPr>
          <w:rFonts w:ascii="Arial" w:hAnsi="Arial" w:cs="Arial"/>
          <w:sz w:val="20"/>
          <w:szCs w:val="20"/>
        </w:rPr>
        <w:t>notamment les sites d’électroly</w:t>
      </w:r>
      <w:r w:rsidR="001E5C19">
        <w:rPr>
          <w:rFonts w:ascii="Arial" w:hAnsi="Arial" w:cs="Arial"/>
          <w:sz w:val="20"/>
          <w:szCs w:val="20"/>
        </w:rPr>
        <w:t xml:space="preserve">se </w:t>
      </w:r>
      <w:r w:rsidR="004F0EF2">
        <w:rPr>
          <w:rFonts w:ascii="Arial" w:hAnsi="Arial" w:cs="Arial"/>
          <w:sz w:val="20"/>
          <w:szCs w:val="20"/>
        </w:rPr>
        <w:t>et les installations de recharge de véhicules électriques)</w:t>
      </w:r>
      <w:r w:rsidR="00E81798">
        <w:rPr>
          <w:rFonts w:ascii="Arial" w:hAnsi="Arial" w:cs="Arial"/>
          <w:sz w:val="20"/>
          <w:szCs w:val="20"/>
        </w:rPr>
        <w:t xml:space="preserve">, </w:t>
      </w:r>
      <w:r w:rsidR="00FD2D7F">
        <w:rPr>
          <w:rFonts w:ascii="Arial" w:hAnsi="Arial" w:cs="Arial"/>
          <w:sz w:val="20"/>
          <w:szCs w:val="20"/>
        </w:rPr>
        <w:t xml:space="preserve">ont, même lorsqu’ils sont raccordés au réseau de distribution, </w:t>
      </w:r>
      <w:r w:rsidR="000666EB">
        <w:rPr>
          <w:rFonts w:ascii="Arial" w:hAnsi="Arial" w:cs="Arial"/>
          <w:sz w:val="20"/>
          <w:szCs w:val="20"/>
        </w:rPr>
        <w:t>des durées de montée en charge dépassant deux ans</w:t>
      </w:r>
      <w:r w:rsidR="00DB08C0">
        <w:rPr>
          <w:rFonts w:ascii="Arial" w:hAnsi="Arial" w:cs="Arial"/>
          <w:sz w:val="20"/>
          <w:szCs w:val="20"/>
        </w:rPr>
        <w:t>.</w:t>
      </w:r>
      <w:r w:rsidR="00C96993">
        <w:rPr>
          <w:rFonts w:ascii="Arial" w:hAnsi="Arial" w:cs="Arial"/>
          <w:sz w:val="20"/>
          <w:szCs w:val="20"/>
        </w:rPr>
        <w:t xml:space="preserve"> Pour ces installations, la durée de </w:t>
      </w:r>
      <w:proofErr w:type="gramStart"/>
      <w:r w:rsidR="00C96993">
        <w:rPr>
          <w:rFonts w:ascii="Arial" w:hAnsi="Arial" w:cs="Arial"/>
          <w:sz w:val="20"/>
          <w:szCs w:val="20"/>
        </w:rPr>
        <w:t>deux ans</w:t>
      </w:r>
      <w:r w:rsidR="00A30FCB">
        <w:rPr>
          <w:rFonts w:ascii="Arial" w:hAnsi="Arial" w:cs="Arial"/>
          <w:sz w:val="20"/>
          <w:szCs w:val="20"/>
        </w:rPr>
        <w:t xml:space="preserve"> proposé</w:t>
      </w:r>
      <w:r w:rsidR="00C24FBA">
        <w:rPr>
          <w:rFonts w:ascii="Arial" w:hAnsi="Arial" w:cs="Arial"/>
          <w:sz w:val="20"/>
          <w:szCs w:val="20"/>
        </w:rPr>
        <w:t>e</w:t>
      </w:r>
      <w:proofErr w:type="gramEnd"/>
      <w:r w:rsidR="00A30FCB">
        <w:rPr>
          <w:rFonts w:ascii="Arial" w:hAnsi="Arial" w:cs="Arial"/>
          <w:sz w:val="20"/>
          <w:szCs w:val="20"/>
        </w:rPr>
        <w:t xml:space="preserve"> par la CRE </w:t>
      </w:r>
      <w:r w:rsidR="003D55E3">
        <w:rPr>
          <w:rFonts w:ascii="Arial" w:hAnsi="Arial" w:cs="Arial"/>
          <w:sz w:val="20"/>
          <w:szCs w:val="20"/>
        </w:rPr>
        <w:t>es</w:t>
      </w:r>
      <w:r w:rsidR="00A30FCB">
        <w:rPr>
          <w:rFonts w:ascii="Arial" w:hAnsi="Arial" w:cs="Arial"/>
          <w:sz w:val="20"/>
          <w:szCs w:val="20"/>
        </w:rPr>
        <w:t>t donc insuffisant</w:t>
      </w:r>
      <w:r w:rsidR="001B7FC7">
        <w:rPr>
          <w:rFonts w:ascii="Arial" w:hAnsi="Arial" w:cs="Arial"/>
          <w:sz w:val="20"/>
          <w:szCs w:val="20"/>
        </w:rPr>
        <w:t>e.</w:t>
      </w:r>
    </w:p>
    <w:p w14:paraId="0BE28179" w14:textId="072579DE" w:rsidR="00A30FCB" w:rsidRDefault="00CF1822" w:rsidP="00DD4F4E">
      <w:pPr>
        <w:jc w:val="both"/>
        <w:rPr>
          <w:rFonts w:ascii="Arial" w:hAnsi="Arial" w:cs="Arial"/>
          <w:sz w:val="20"/>
          <w:szCs w:val="20"/>
        </w:rPr>
      </w:pPr>
      <w:r>
        <w:rPr>
          <w:rFonts w:ascii="Arial" w:hAnsi="Arial" w:cs="Arial"/>
          <w:sz w:val="20"/>
          <w:szCs w:val="20"/>
        </w:rPr>
        <w:t>C</w:t>
      </w:r>
      <w:r w:rsidRPr="00CF1822">
        <w:rPr>
          <w:rFonts w:ascii="Arial" w:hAnsi="Arial" w:cs="Arial"/>
          <w:sz w:val="20"/>
          <w:szCs w:val="20"/>
        </w:rPr>
        <w:t>ertain</w:t>
      </w:r>
      <w:r w:rsidR="00683A4A">
        <w:rPr>
          <w:rFonts w:ascii="Arial" w:hAnsi="Arial" w:cs="Arial"/>
          <w:sz w:val="20"/>
          <w:szCs w:val="20"/>
        </w:rPr>
        <w:t>e</w:t>
      </w:r>
      <w:r w:rsidRPr="00CF1822">
        <w:rPr>
          <w:rFonts w:ascii="Arial" w:hAnsi="Arial" w:cs="Arial"/>
          <w:sz w:val="20"/>
          <w:szCs w:val="20"/>
        </w:rPr>
        <w:t xml:space="preserve">s </w:t>
      </w:r>
      <w:r w:rsidR="00683A4A">
        <w:rPr>
          <w:rFonts w:ascii="Arial" w:hAnsi="Arial" w:cs="Arial"/>
          <w:sz w:val="20"/>
          <w:szCs w:val="20"/>
        </w:rPr>
        <w:t>installations</w:t>
      </w:r>
      <w:r w:rsidRPr="00CF1822">
        <w:rPr>
          <w:rFonts w:ascii="Arial" w:hAnsi="Arial" w:cs="Arial"/>
          <w:sz w:val="20"/>
          <w:szCs w:val="20"/>
        </w:rPr>
        <w:t xml:space="preserve"> (et typiquement les électrolyseurs pour la production d’hydrogène) ont</w:t>
      </w:r>
      <w:r>
        <w:rPr>
          <w:rFonts w:ascii="Arial" w:hAnsi="Arial" w:cs="Arial"/>
          <w:sz w:val="20"/>
          <w:szCs w:val="20"/>
        </w:rPr>
        <w:t xml:space="preserve"> par ailleurs</w:t>
      </w:r>
      <w:r w:rsidRPr="00CF1822">
        <w:rPr>
          <w:rFonts w:ascii="Arial" w:hAnsi="Arial" w:cs="Arial"/>
          <w:sz w:val="20"/>
          <w:szCs w:val="20"/>
        </w:rPr>
        <w:t xml:space="preserve"> tendance à consommer plus d’électricité avec le temps, </w:t>
      </w:r>
      <w:r w:rsidR="00917CC6">
        <w:rPr>
          <w:rFonts w:ascii="Arial" w:hAnsi="Arial" w:cs="Arial"/>
          <w:sz w:val="20"/>
          <w:szCs w:val="20"/>
        </w:rPr>
        <w:t xml:space="preserve">la perte </w:t>
      </w:r>
      <w:r w:rsidR="005E36BA">
        <w:rPr>
          <w:rFonts w:ascii="Arial" w:hAnsi="Arial" w:cs="Arial"/>
          <w:sz w:val="20"/>
          <w:szCs w:val="20"/>
        </w:rPr>
        <w:t xml:space="preserve">annuelle </w:t>
      </w:r>
      <w:r w:rsidR="00917CC6">
        <w:rPr>
          <w:rFonts w:ascii="Arial" w:hAnsi="Arial" w:cs="Arial"/>
          <w:sz w:val="20"/>
          <w:szCs w:val="20"/>
        </w:rPr>
        <w:t xml:space="preserve">de rendement étant </w:t>
      </w:r>
      <w:r w:rsidRPr="00CF1822">
        <w:rPr>
          <w:rFonts w:ascii="Arial" w:hAnsi="Arial" w:cs="Arial"/>
          <w:sz w:val="20"/>
          <w:szCs w:val="20"/>
        </w:rPr>
        <w:t>supérieur</w:t>
      </w:r>
      <w:r w:rsidR="005E36BA">
        <w:rPr>
          <w:rFonts w:ascii="Arial" w:hAnsi="Arial" w:cs="Arial"/>
          <w:sz w:val="20"/>
          <w:szCs w:val="20"/>
        </w:rPr>
        <w:t>e</w:t>
      </w:r>
      <w:r w:rsidRPr="00CF1822">
        <w:rPr>
          <w:rFonts w:ascii="Arial" w:hAnsi="Arial" w:cs="Arial"/>
          <w:sz w:val="20"/>
          <w:szCs w:val="20"/>
        </w:rPr>
        <w:t xml:space="preserve"> à 2</w:t>
      </w:r>
      <w:r w:rsidR="00683A4A">
        <w:rPr>
          <w:rFonts w:ascii="Arial" w:hAnsi="Arial" w:cs="Arial"/>
          <w:sz w:val="20"/>
          <w:szCs w:val="20"/>
        </w:rPr>
        <w:t> </w:t>
      </w:r>
      <w:r w:rsidRPr="00CF1822">
        <w:rPr>
          <w:rFonts w:ascii="Arial" w:hAnsi="Arial" w:cs="Arial"/>
          <w:sz w:val="20"/>
          <w:szCs w:val="20"/>
        </w:rPr>
        <w:t>%.</w:t>
      </w:r>
      <w:r w:rsidR="00567D52">
        <w:rPr>
          <w:rFonts w:ascii="Arial" w:hAnsi="Arial" w:cs="Arial"/>
          <w:sz w:val="20"/>
          <w:szCs w:val="20"/>
        </w:rPr>
        <w:t xml:space="preserve"> </w:t>
      </w:r>
      <w:r w:rsidRPr="00CF1822">
        <w:rPr>
          <w:rFonts w:ascii="Arial" w:hAnsi="Arial" w:cs="Arial"/>
          <w:sz w:val="20"/>
          <w:szCs w:val="20"/>
        </w:rPr>
        <w:t xml:space="preserve">Cette augmentation </w:t>
      </w:r>
      <w:r w:rsidR="008D1C09">
        <w:rPr>
          <w:rFonts w:ascii="Arial" w:hAnsi="Arial" w:cs="Arial"/>
          <w:sz w:val="20"/>
          <w:szCs w:val="20"/>
        </w:rPr>
        <w:t>inéluctable</w:t>
      </w:r>
      <w:r w:rsidRPr="00CF1822">
        <w:rPr>
          <w:rFonts w:ascii="Arial" w:hAnsi="Arial" w:cs="Arial"/>
          <w:sz w:val="20"/>
          <w:szCs w:val="20"/>
        </w:rPr>
        <w:t xml:space="preserve"> de la consommation d’électricité </w:t>
      </w:r>
      <w:r w:rsidR="008D1C09">
        <w:rPr>
          <w:rFonts w:ascii="Arial" w:hAnsi="Arial" w:cs="Arial"/>
          <w:sz w:val="20"/>
          <w:szCs w:val="20"/>
        </w:rPr>
        <w:t xml:space="preserve">à utilité égale </w:t>
      </w:r>
      <w:r w:rsidRPr="00CF1822">
        <w:rPr>
          <w:rFonts w:ascii="Arial" w:hAnsi="Arial" w:cs="Arial"/>
          <w:sz w:val="20"/>
          <w:szCs w:val="20"/>
        </w:rPr>
        <w:t>doit être prise en compte lors du dimensionnement de la puissance de raccordement. A</w:t>
      </w:r>
      <w:r w:rsidR="008D1C09">
        <w:rPr>
          <w:rFonts w:ascii="Arial" w:hAnsi="Arial" w:cs="Arial"/>
          <w:sz w:val="20"/>
          <w:szCs w:val="20"/>
        </w:rPr>
        <w:t>ins</w:t>
      </w:r>
      <w:r w:rsidRPr="00CF1822">
        <w:rPr>
          <w:rFonts w:ascii="Arial" w:hAnsi="Arial" w:cs="Arial"/>
          <w:sz w:val="20"/>
          <w:szCs w:val="20"/>
        </w:rPr>
        <w:t xml:space="preserve">i, l’historique de consommation sur cinq années ne </w:t>
      </w:r>
      <w:r w:rsidR="0006458D">
        <w:rPr>
          <w:rFonts w:ascii="Arial" w:hAnsi="Arial" w:cs="Arial"/>
          <w:sz w:val="20"/>
          <w:szCs w:val="20"/>
        </w:rPr>
        <w:t>suffira-t-il</w:t>
      </w:r>
      <w:r w:rsidR="00ED3884">
        <w:rPr>
          <w:rFonts w:ascii="Arial" w:hAnsi="Arial" w:cs="Arial"/>
          <w:sz w:val="20"/>
          <w:szCs w:val="20"/>
        </w:rPr>
        <w:t xml:space="preserve"> </w:t>
      </w:r>
      <w:r w:rsidRPr="00CF1822">
        <w:rPr>
          <w:rFonts w:ascii="Arial" w:hAnsi="Arial" w:cs="Arial"/>
          <w:sz w:val="20"/>
          <w:szCs w:val="20"/>
        </w:rPr>
        <w:t xml:space="preserve">pas forcément </w:t>
      </w:r>
      <w:r w:rsidR="00F7745B">
        <w:rPr>
          <w:rFonts w:ascii="Arial" w:hAnsi="Arial" w:cs="Arial"/>
          <w:sz w:val="20"/>
          <w:szCs w:val="20"/>
        </w:rPr>
        <w:t>à couvrir l</w:t>
      </w:r>
      <w:r w:rsidRPr="00CF1822">
        <w:rPr>
          <w:rFonts w:ascii="Arial" w:hAnsi="Arial" w:cs="Arial"/>
          <w:sz w:val="20"/>
          <w:szCs w:val="20"/>
        </w:rPr>
        <w:t>es futurs besoins</w:t>
      </w:r>
      <w:r w:rsidR="008B1493">
        <w:rPr>
          <w:rFonts w:ascii="Arial" w:hAnsi="Arial" w:cs="Arial"/>
          <w:sz w:val="20"/>
          <w:szCs w:val="20"/>
        </w:rPr>
        <w:t xml:space="preserve"> de l’installation.</w:t>
      </w:r>
    </w:p>
    <w:p w14:paraId="69EFA10F" w14:textId="0C3319C4" w:rsidR="000977C9" w:rsidRPr="00232A29" w:rsidRDefault="000977C9" w:rsidP="000977C9">
      <w:pPr>
        <w:spacing w:after="0"/>
        <w:jc w:val="both"/>
        <w:rPr>
          <w:rFonts w:ascii="Arial" w:hAnsi="Arial" w:cs="Arial"/>
          <w:sz w:val="20"/>
          <w:szCs w:val="20"/>
        </w:rPr>
      </w:pPr>
      <w:r w:rsidRPr="00232A29">
        <w:rPr>
          <w:rFonts w:ascii="Arial" w:hAnsi="Arial" w:cs="Arial"/>
          <w:sz w:val="20"/>
          <w:szCs w:val="20"/>
        </w:rPr>
        <w:t xml:space="preserve">Par ailleurs, il faut que la période commence à la mise en service des usines, et non pas à la mise à disposition des ouvrages du réseau. </w:t>
      </w:r>
    </w:p>
    <w:p w14:paraId="4E3D2155" w14:textId="77777777" w:rsidR="000771A0" w:rsidRDefault="000771A0" w:rsidP="001D2D1C">
      <w:pPr>
        <w:jc w:val="both"/>
        <w:rPr>
          <w:rFonts w:ascii="Arial" w:hAnsi="Arial" w:cs="Arial"/>
          <w:i/>
          <w:iCs/>
          <w:color w:val="2F5496" w:themeColor="accent1" w:themeShade="BF"/>
          <w:sz w:val="20"/>
          <w:szCs w:val="20"/>
        </w:rPr>
      </w:pPr>
    </w:p>
    <w:p w14:paraId="001FE9A7" w14:textId="60163005"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6 : Etes-vous favorable à ce que cette modification de la puissance de raccordement des nouvelles installations soit réalisée de manière automatique et sans indemnisation ?</w:t>
      </w:r>
    </w:p>
    <w:p w14:paraId="536153C5" w14:textId="563A5393" w:rsidR="000977C9" w:rsidRDefault="003C20CF" w:rsidP="00B1735E">
      <w:pPr>
        <w:jc w:val="both"/>
        <w:rPr>
          <w:rFonts w:ascii="Arial" w:hAnsi="Arial" w:cs="Arial"/>
          <w:sz w:val="20"/>
          <w:szCs w:val="20"/>
        </w:rPr>
      </w:pPr>
      <w:r w:rsidRPr="13B1DB59">
        <w:rPr>
          <w:rFonts w:ascii="Arial" w:hAnsi="Arial" w:cs="Arial"/>
          <w:sz w:val="20"/>
          <w:szCs w:val="20"/>
        </w:rPr>
        <w:t>Compte tenu notamment des éléments présentés en réponse à la question 5</w:t>
      </w:r>
      <w:r w:rsidR="009F4698" w:rsidRPr="13B1DB59">
        <w:rPr>
          <w:rFonts w:ascii="Arial" w:hAnsi="Arial" w:cs="Arial"/>
          <w:sz w:val="20"/>
          <w:szCs w:val="20"/>
        </w:rPr>
        <w:t>, il ne nous paraît pas adéquat d’en faire une procédure automatique</w:t>
      </w:r>
      <w:r w:rsidR="00A311CF" w:rsidRPr="13B1DB59">
        <w:rPr>
          <w:rFonts w:ascii="Arial" w:hAnsi="Arial" w:cs="Arial"/>
          <w:sz w:val="20"/>
          <w:szCs w:val="20"/>
        </w:rPr>
        <w:t>, même pour les installations nouvelles</w:t>
      </w:r>
      <w:r w:rsidR="009F4698" w:rsidRPr="13B1DB59">
        <w:rPr>
          <w:rFonts w:ascii="Arial" w:hAnsi="Arial" w:cs="Arial"/>
          <w:sz w:val="20"/>
          <w:szCs w:val="20"/>
        </w:rPr>
        <w:t xml:space="preserve">. </w:t>
      </w:r>
      <w:bookmarkStart w:id="0" w:name="_Hlk165843791"/>
      <w:r w:rsidR="00C377A6" w:rsidRPr="13B1DB59">
        <w:rPr>
          <w:rFonts w:ascii="Arial" w:hAnsi="Arial" w:cs="Arial"/>
          <w:sz w:val="20"/>
          <w:szCs w:val="20"/>
        </w:rPr>
        <w:t>Il</w:t>
      </w:r>
      <w:r w:rsidR="00B1735E" w:rsidRPr="13B1DB59">
        <w:rPr>
          <w:rFonts w:ascii="Arial" w:hAnsi="Arial" w:cs="Arial"/>
          <w:sz w:val="20"/>
          <w:szCs w:val="20"/>
        </w:rPr>
        <w:t xml:space="preserve"> </w:t>
      </w:r>
      <w:r w:rsidR="000977C9" w:rsidRPr="13B1DB59">
        <w:rPr>
          <w:rFonts w:ascii="Arial" w:hAnsi="Arial" w:cs="Arial"/>
          <w:sz w:val="20"/>
          <w:szCs w:val="20"/>
        </w:rPr>
        <w:t xml:space="preserve">faut qu’un recours soit possible et qu’une extension soit permise si le porteur de projet parvient à </w:t>
      </w:r>
      <w:r w:rsidR="00667DEB" w:rsidRPr="13B1DB59">
        <w:rPr>
          <w:rFonts w:ascii="Arial" w:hAnsi="Arial" w:cs="Arial"/>
          <w:sz w:val="20"/>
          <w:szCs w:val="20"/>
        </w:rPr>
        <w:t>présenter</w:t>
      </w:r>
      <w:r w:rsidR="005F31A3" w:rsidRPr="13B1DB59">
        <w:rPr>
          <w:rFonts w:ascii="Arial" w:hAnsi="Arial" w:cs="Arial"/>
          <w:sz w:val="20"/>
          <w:szCs w:val="20"/>
        </w:rPr>
        <w:t xml:space="preserve"> des </w:t>
      </w:r>
      <w:r w:rsidR="000977C9" w:rsidRPr="13B1DB59">
        <w:rPr>
          <w:rFonts w:ascii="Arial" w:hAnsi="Arial" w:cs="Arial"/>
          <w:sz w:val="20"/>
          <w:szCs w:val="20"/>
        </w:rPr>
        <w:t xml:space="preserve">éléments convaincants. </w:t>
      </w:r>
    </w:p>
    <w:bookmarkEnd w:id="0"/>
    <w:p w14:paraId="567B287B" w14:textId="77777777" w:rsidR="005D7C89" w:rsidRPr="00B1735E" w:rsidRDefault="005D7C89" w:rsidP="00B1735E">
      <w:pPr>
        <w:jc w:val="both"/>
        <w:rPr>
          <w:rFonts w:ascii="Arial" w:hAnsi="Arial" w:cs="Arial"/>
          <w:sz w:val="20"/>
          <w:szCs w:val="20"/>
        </w:rPr>
      </w:pPr>
    </w:p>
    <w:p w14:paraId="635349B6" w14:textId="7494ABF4"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7 : Etes-vous favorable à ce que la modification de la puissance de raccordement des installations existantes soit réalisée de manière automatique ?</w:t>
      </w:r>
    </w:p>
    <w:p w14:paraId="69FF144D" w14:textId="33B48161" w:rsidR="00FC3FC1" w:rsidRPr="00FC3FC1" w:rsidRDefault="00CD36F6" w:rsidP="000977C9">
      <w:pPr>
        <w:spacing w:after="0"/>
        <w:jc w:val="both"/>
        <w:rPr>
          <w:rFonts w:ascii="Arial" w:hAnsi="Arial" w:cs="Arial"/>
          <w:sz w:val="20"/>
          <w:szCs w:val="20"/>
        </w:rPr>
      </w:pPr>
      <w:r w:rsidRPr="00FC3FC1">
        <w:rPr>
          <w:rFonts w:ascii="Arial" w:hAnsi="Arial" w:cs="Arial"/>
          <w:sz w:val="20"/>
          <w:szCs w:val="20"/>
        </w:rPr>
        <w:t xml:space="preserve">Plus encore que pour les installations </w:t>
      </w:r>
      <w:r w:rsidR="00FC3FC1" w:rsidRPr="00FC3FC1">
        <w:rPr>
          <w:rFonts w:ascii="Arial" w:hAnsi="Arial" w:cs="Arial"/>
          <w:sz w:val="20"/>
          <w:szCs w:val="20"/>
        </w:rPr>
        <w:t>nouvelles, il</w:t>
      </w:r>
      <w:r w:rsidRPr="00FC3FC1">
        <w:rPr>
          <w:rFonts w:ascii="Arial" w:hAnsi="Arial" w:cs="Arial"/>
          <w:sz w:val="20"/>
          <w:szCs w:val="20"/>
        </w:rPr>
        <w:t xml:space="preserve"> ne nous paraît pas </w:t>
      </w:r>
      <w:r w:rsidR="00FC3FC1" w:rsidRPr="00FC3FC1">
        <w:rPr>
          <w:rFonts w:ascii="Arial" w:hAnsi="Arial" w:cs="Arial"/>
          <w:sz w:val="20"/>
          <w:szCs w:val="20"/>
        </w:rPr>
        <w:t xml:space="preserve">adéquat que la modification de puissance des installations </w:t>
      </w:r>
      <w:r w:rsidR="004A5AB1" w:rsidRPr="00FC3FC1">
        <w:rPr>
          <w:rFonts w:ascii="Arial" w:hAnsi="Arial" w:cs="Arial"/>
          <w:sz w:val="20"/>
          <w:szCs w:val="20"/>
        </w:rPr>
        <w:t>existantes soit</w:t>
      </w:r>
      <w:r w:rsidR="00FC3FC1" w:rsidRPr="00FC3FC1">
        <w:rPr>
          <w:rFonts w:ascii="Arial" w:hAnsi="Arial" w:cs="Arial"/>
          <w:sz w:val="20"/>
          <w:szCs w:val="20"/>
        </w:rPr>
        <w:t xml:space="preserve"> une procédure automatique.</w:t>
      </w:r>
    </w:p>
    <w:p w14:paraId="49F5D43E" w14:textId="7EBC9016" w:rsidR="000977C9" w:rsidRPr="004A5AB1" w:rsidRDefault="000977C9" w:rsidP="00FC3FC1">
      <w:pPr>
        <w:spacing w:after="0"/>
        <w:jc w:val="both"/>
        <w:rPr>
          <w:rFonts w:ascii="Arial" w:hAnsi="Arial" w:cs="Arial"/>
          <w:sz w:val="20"/>
          <w:szCs w:val="20"/>
        </w:rPr>
      </w:pPr>
      <w:r w:rsidRPr="004A5AB1">
        <w:rPr>
          <w:rFonts w:ascii="Arial" w:hAnsi="Arial" w:cs="Arial"/>
          <w:sz w:val="20"/>
          <w:szCs w:val="20"/>
        </w:rPr>
        <w:br/>
        <w:t xml:space="preserve">Il faut qu’un recours soit possible et qu’une extension soit permise si l’utilisateur parvient à </w:t>
      </w:r>
      <w:r w:rsidR="0018143E">
        <w:rPr>
          <w:rFonts w:ascii="Arial" w:hAnsi="Arial" w:cs="Arial"/>
          <w:sz w:val="20"/>
          <w:szCs w:val="20"/>
        </w:rPr>
        <w:t xml:space="preserve">présenter </w:t>
      </w:r>
      <w:r w:rsidRPr="004A5AB1">
        <w:rPr>
          <w:rFonts w:ascii="Arial" w:hAnsi="Arial" w:cs="Arial"/>
          <w:sz w:val="20"/>
          <w:szCs w:val="20"/>
        </w:rPr>
        <w:t xml:space="preserve">des éléments convaincants. En particulier, une tolérance devrait être accordée pour les usines sur </w:t>
      </w:r>
      <w:r w:rsidRPr="004A5AB1">
        <w:rPr>
          <w:rFonts w:ascii="Arial" w:hAnsi="Arial" w:cs="Arial"/>
          <w:sz w:val="20"/>
          <w:szCs w:val="20"/>
        </w:rPr>
        <w:lastRenderedPageBreak/>
        <w:t>le</w:t>
      </w:r>
      <w:r w:rsidR="00B70618">
        <w:rPr>
          <w:rFonts w:ascii="Arial" w:hAnsi="Arial" w:cs="Arial"/>
          <w:sz w:val="20"/>
          <w:szCs w:val="20"/>
        </w:rPr>
        <w:t>s</w:t>
      </w:r>
      <w:r w:rsidRPr="004A5AB1">
        <w:rPr>
          <w:rFonts w:ascii="Arial" w:hAnsi="Arial" w:cs="Arial"/>
          <w:sz w:val="20"/>
          <w:szCs w:val="20"/>
        </w:rPr>
        <w:t>quel</w:t>
      </w:r>
      <w:r w:rsidR="00B70618">
        <w:rPr>
          <w:rFonts w:ascii="Arial" w:hAnsi="Arial" w:cs="Arial"/>
          <w:sz w:val="20"/>
          <w:szCs w:val="20"/>
        </w:rPr>
        <w:t>les</w:t>
      </w:r>
      <w:r w:rsidRPr="004A5AB1">
        <w:rPr>
          <w:rFonts w:ascii="Arial" w:hAnsi="Arial" w:cs="Arial"/>
          <w:sz w:val="20"/>
          <w:szCs w:val="20"/>
        </w:rPr>
        <w:t xml:space="preserve"> il existe un potentiel avéré d’électrification des procédés qui pourraient nécessiter dans le futur de</w:t>
      </w:r>
      <w:r w:rsidR="00CB4B0A">
        <w:rPr>
          <w:rFonts w:ascii="Arial" w:hAnsi="Arial" w:cs="Arial"/>
          <w:sz w:val="20"/>
          <w:szCs w:val="20"/>
        </w:rPr>
        <w:t>s</w:t>
      </w:r>
      <w:r w:rsidRPr="004A5AB1">
        <w:rPr>
          <w:rFonts w:ascii="Arial" w:hAnsi="Arial" w:cs="Arial"/>
          <w:sz w:val="20"/>
          <w:szCs w:val="20"/>
        </w:rPr>
        <w:t xml:space="preserve"> besoins électriques plus importants.</w:t>
      </w:r>
    </w:p>
    <w:p w14:paraId="37E04DB0" w14:textId="131E782B" w:rsidR="000977C9" w:rsidRPr="000771A0" w:rsidRDefault="000977C9" w:rsidP="001D2D1C">
      <w:pPr>
        <w:jc w:val="both"/>
        <w:rPr>
          <w:rFonts w:ascii="Arial" w:hAnsi="Arial" w:cs="Arial"/>
          <w:i/>
          <w:iCs/>
          <w:color w:val="2F5496" w:themeColor="accent1" w:themeShade="BF"/>
          <w:sz w:val="20"/>
          <w:szCs w:val="20"/>
        </w:rPr>
      </w:pPr>
    </w:p>
    <w:p w14:paraId="0D3FC51B" w14:textId="77777777"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8 : Etes-vous favorable à ce que la modification de la puissance de raccordement des installations existantes soit réalisée sans indemnisation ?</w:t>
      </w:r>
    </w:p>
    <w:p w14:paraId="5CCFCF09" w14:textId="39E2309D" w:rsidR="00277768" w:rsidRDefault="00F93730" w:rsidP="001D2D1C">
      <w:pPr>
        <w:jc w:val="both"/>
        <w:rPr>
          <w:rFonts w:ascii="Arial" w:hAnsi="Arial" w:cs="Arial"/>
          <w:sz w:val="20"/>
          <w:szCs w:val="20"/>
        </w:rPr>
      </w:pPr>
      <w:r>
        <w:rPr>
          <w:rFonts w:ascii="Arial" w:hAnsi="Arial" w:cs="Arial"/>
          <w:sz w:val="20"/>
          <w:szCs w:val="20"/>
        </w:rPr>
        <w:t xml:space="preserve">Sous réserve des positions déjà exprimées </w:t>
      </w:r>
      <w:r w:rsidR="00F044A7">
        <w:rPr>
          <w:rFonts w:ascii="Arial" w:hAnsi="Arial" w:cs="Arial"/>
          <w:sz w:val="20"/>
          <w:szCs w:val="20"/>
        </w:rPr>
        <w:t xml:space="preserve">en réponse aux questions </w:t>
      </w:r>
      <w:r w:rsidR="004B20B1">
        <w:rPr>
          <w:rFonts w:ascii="Arial" w:hAnsi="Arial" w:cs="Arial"/>
          <w:sz w:val="20"/>
          <w:szCs w:val="20"/>
        </w:rPr>
        <w:t xml:space="preserve">précédentes </w:t>
      </w:r>
      <w:r w:rsidR="003240A8">
        <w:rPr>
          <w:rFonts w:ascii="Arial" w:hAnsi="Arial" w:cs="Arial"/>
          <w:sz w:val="20"/>
          <w:szCs w:val="20"/>
        </w:rPr>
        <w:t xml:space="preserve">et </w:t>
      </w:r>
      <w:r w:rsidR="003859D3">
        <w:rPr>
          <w:rFonts w:ascii="Arial" w:hAnsi="Arial" w:cs="Arial"/>
          <w:sz w:val="20"/>
          <w:szCs w:val="20"/>
        </w:rPr>
        <w:t>dans l’hypothèse</w:t>
      </w:r>
      <w:r w:rsidR="009667B8">
        <w:rPr>
          <w:rFonts w:ascii="Arial" w:hAnsi="Arial" w:cs="Arial"/>
          <w:sz w:val="20"/>
          <w:szCs w:val="20"/>
        </w:rPr>
        <w:t xml:space="preserve"> </w:t>
      </w:r>
      <w:r w:rsidR="003240A8">
        <w:rPr>
          <w:rFonts w:ascii="Arial" w:hAnsi="Arial" w:cs="Arial"/>
          <w:sz w:val="20"/>
          <w:szCs w:val="20"/>
        </w:rPr>
        <w:t xml:space="preserve">d’une </w:t>
      </w:r>
      <w:r w:rsidR="00A01D99">
        <w:rPr>
          <w:rFonts w:ascii="Arial" w:hAnsi="Arial" w:cs="Arial"/>
          <w:sz w:val="20"/>
          <w:szCs w:val="20"/>
        </w:rPr>
        <w:t>compensation compl</w:t>
      </w:r>
      <w:r w:rsidR="003203D2">
        <w:rPr>
          <w:rFonts w:ascii="Arial" w:hAnsi="Arial" w:cs="Arial"/>
          <w:sz w:val="20"/>
          <w:szCs w:val="20"/>
        </w:rPr>
        <w:t xml:space="preserve">ète des frais qui pourraient être demandés en cas de retour à la puissance de raccordement initialement souscrite, </w:t>
      </w:r>
      <w:r w:rsidR="00277768">
        <w:rPr>
          <w:rFonts w:ascii="Arial" w:hAnsi="Arial" w:cs="Arial"/>
          <w:sz w:val="20"/>
          <w:szCs w:val="20"/>
        </w:rPr>
        <w:t>une absence de compensation au moment de la modification de puissance est envisageable.</w:t>
      </w:r>
    </w:p>
    <w:p w14:paraId="6BF38F65" w14:textId="77777777" w:rsidR="000771A0" w:rsidRDefault="000771A0" w:rsidP="001D2D1C">
      <w:pPr>
        <w:jc w:val="both"/>
        <w:rPr>
          <w:rFonts w:ascii="Arial" w:hAnsi="Arial" w:cs="Arial"/>
          <w:i/>
          <w:iCs/>
          <w:color w:val="2F5496" w:themeColor="accent1" w:themeShade="BF"/>
          <w:sz w:val="20"/>
          <w:szCs w:val="20"/>
        </w:rPr>
      </w:pPr>
    </w:p>
    <w:p w14:paraId="62795394" w14:textId="6C8CADC7"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9 : Etes-vous favorable à ce qu’une indemnisation soit versée à l’utilisateur existant dont la puissance de raccordement a été modifiée et qui a besoin de tout ou partie de la puissance de raccordement récupérée ?</w:t>
      </w:r>
    </w:p>
    <w:p w14:paraId="18F47418" w14:textId="64462CA4" w:rsidR="702BEDF8" w:rsidRPr="007E6630" w:rsidRDefault="702BEDF8" w:rsidP="4B2D3F24">
      <w:pPr>
        <w:jc w:val="both"/>
        <w:rPr>
          <w:rFonts w:ascii="Arial" w:hAnsi="Arial" w:cs="Arial"/>
          <w:sz w:val="20"/>
          <w:szCs w:val="20"/>
        </w:rPr>
      </w:pPr>
      <w:r w:rsidRPr="007E6630">
        <w:rPr>
          <w:rFonts w:ascii="Arial" w:hAnsi="Arial" w:cs="Arial"/>
          <w:sz w:val="20"/>
          <w:szCs w:val="20"/>
        </w:rPr>
        <w:t xml:space="preserve">EDF est favorable à cette seconde proposition, qui concilie </w:t>
      </w:r>
      <w:r w:rsidR="00271E57">
        <w:rPr>
          <w:rFonts w:ascii="Arial" w:hAnsi="Arial" w:cs="Arial"/>
          <w:sz w:val="20"/>
          <w:szCs w:val="20"/>
        </w:rPr>
        <w:t>l’objectif</w:t>
      </w:r>
      <w:r w:rsidR="00671DC2">
        <w:rPr>
          <w:rFonts w:ascii="Arial" w:hAnsi="Arial" w:cs="Arial"/>
          <w:sz w:val="20"/>
          <w:szCs w:val="20"/>
        </w:rPr>
        <w:t>, qu’elle partage,</w:t>
      </w:r>
      <w:r w:rsidRPr="007E6630">
        <w:rPr>
          <w:rFonts w:ascii="Arial" w:hAnsi="Arial" w:cs="Arial"/>
          <w:sz w:val="20"/>
          <w:szCs w:val="20"/>
        </w:rPr>
        <w:t xml:space="preserve"> d’optimiser les investissements dans le réseau, et la préservation de l’intérêt des utilisateurs du réseau, qui ont conclu une convention de raccordement à des conditions données.</w:t>
      </w:r>
    </w:p>
    <w:p w14:paraId="635ED9AA" w14:textId="513E209C" w:rsidR="000771A0" w:rsidRDefault="542DA19A" w:rsidP="001D2D1C">
      <w:pPr>
        <w:jc w:val="both"/>
        <w:rPr>
          <w:rFonts w:ascii="Arial" w:hAnsi="Arial" w:cs="Arial"/>
          <w:sz w:val="20"/>
          <w:szCs w:val="20"/>
        </w:rPr>
      </w:pPr>
      <w:r w:rsidRPr="09CE1AAE">
        <w:rPr>
          <w:rFonts w:ascii="Arial" w:hAnsi="Arial" w:cs="Arial"/>
          <w:sz w:val="20"/>
          <w:szCs w:val="20"/>
        </w:rPr>
        <w:t xml:space="preserve">Un utilisateur dont la puissance de raccordement a été ajustée devrait pouvoir, en cas de besoin, récupérer sa puissance initiale sans </w:t>
      </w:r>
      <w:r w:rsidR="4F1AD12F" w:rsidRPr="09CE1AAE">
        <w:rPr>
          <w:rFonts w:ascii="Arial" w:hAnsi="Arial" w:cs="Arial"/>
          <w:sz w:val="20"/>
          <w:szCs w:val="20"/>
        </w:rPr>
        <w:t>frais supplémentaire.</w:t>
      </w:r>
    </w:p>
    <w:p w14:paraId="28FAE4FF" w14:textId="122C5220" w:rsidR="00226A56" w:rsidRPr="007E6630" w:rsidRDefault="00226A56" w:rsidP="001D2D1C">
      <w:pPr>
        <w:jc w:val="both"/>
        <w:rPr>
          <w:rFonts w:ascii="Arial" w:hAnsi="Arial" w:cs="Arial"/>
          <w:sz w:val="20"/>
          <w:szCs w:val="20"/>
        </w:rPr>
      </w:pPr>
      <w:r>
        <w:rPr>
          <w:rFonts w:ascii="Arial" w:hAnsi="Arial" w:cs="Arial"/>
          <w:sz w:val="20"/>
          <w:szCs w:val="20"/>
        </w:rPr>
        <w:t>Il paraît important de conditionner cette absence de frais</w:t>
      </w:r>
      <w:r w:rsidR="002A6674">
        <w:rPr>
          <w:rFonts w:ascii="Arial" w:hAnsi="Arial" w:cs="Arial"/>
          <w:sz w:val="20"/>
          <w:szCs w:val="20"/>
        </w:rPr>
        <w:t xml:space="preserve"> </w:t>
      </w:r>
      <w:r w:rsidR="009C18D8">
        <w:rPr>
          <w:rFonts w:ascii="Arial" w:hAnsi="Arial" w:cs="Arial"/>
          <w:sz w:val="20"/>
          <w:szCs w:val="20"/>
        </w:rPr>
        <w:t xml:space="preserve">à l’identité du raccordement </w:t>
      </w:r>
      <w:r w:rsidR="00B7458D">
        <w:rPr>
          <w:rFonts w:ascii="Arial" w:hAnsi="Arial" w:cs="Arial"/>
          <w:sz w:val="20"/>
          <w:szCs w:val="20"/>
        </w:rPr>
        <w:t xml:space="preserve">ayant fait l’objet de la puissance initiale et de celui finalement </w:t>
      </w:r>
      <w:r w:rsidR="00FD4A8C">
        <w:rPr>
          <w:rFonts w:ascii="Arial" w:hAnsi="Arial" w:cs="Arial"/>
          <w:sz w:val="20"/>
          <w:szCs w:val="20"/>
        </w:rPr>
        <w:t>exploité pour</w:t>
      </w:r>
      <w:r w:rsidR="00BB4B86">
        <w:rPr>
          <w:rFonts w:ascii="Arial" w:hAnsi="Arial" w:cs="Arial"/>
          <w:sz w:val="20"/>
          <w:szCs w:val="20"/>
        </w:rPr>
        <w:t xml:space="preserve"> éviter des réservations artificielles de capacité.</w:t>
      </w:r>
    </w:p>
    <w:p w14:paraId="266185D9" w14:textId="77777777" w:rsidR="000977C9" w:rsidRPr="00950DD6" w:rsidRDefault="000977C9" w:rsidP="001D2D1C">
      <w:pPr>
        <w:jc w:val="both"/>
        <w:rPr>
          <w:rFonts w:ascii="Arial" w:hAnsi="Arial" w:cs="Arial"/>
          <w:b/>
          <w:bCs/>
          <w:i/>
          <w:iCs/>
          <w:color w:val="2F5496" w:themeColor="accent1" w:themeShade="BF"/>
          <w:sz w:val="20"/>
          <w:szCs w:val="20"/>
        </w:rPr>
      </w:pPr>
    </w:p>
    <w:p w14:paraId="63884C80" w14:textId="48D130FD"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10 : Etes-vous favorable à la limitation dans le temps du droit à une indemnisation pour un utilisateur faisant une demande d’augmentation de puissance ?</w:t>
      </w:r>
    </w:p>
    <w:p w14:paraId="1397037A" w14:textId="732B8823" w:rsidR="00865A64" w:rsidRDefault="00865A64" w:rsidP="000977C9">
      <w:pPr>
        <w:spacing w:after="0"/>
        <w:jc w:val="both"/>
        <w:rPr>
          <w:rFonts w:ascii="Arial" w:hAnsi="Arial" w:cs="Arial"/>
          <w:sz w:val="20"/>
          <w:szCs w:val="20"/>
        </w:rPr>
      </w:pPr>
      <w:r w:rsidRPr="09CE1AAE">
        <w:rPr>
          <w:rFonts w:ascii="Arial" w:hAnsi="Arial" w:cs="Arial"/>
          <w:sz w:val="20"/>
          <w:szCs w:val="20"/>
        </w:rPr>
        <w:t>Un</w:t>
      </w:r>
      <w:r w:rsidR="488C897F" w:rsidRPr="09CE1AAE">
        <w:rPr>
          <w:rFonts w:ascii="Arial" w:hAnsi="Arial" w:cs="Arial"/>
          <w:sz w:val="20"/>
          <w:szCs w:val="20"/>
        </w:rPr>
        <w:t>e</w:t>
      </w:r>
      <w:r w:rsidRPr="09CE1AAE">
        <w:rPr>
          <w:rFonts w:ascii="Arial" w:hAnsi="Arial" w:cs="Arial"/>
          <w:sz w:val="20"/>
          <w:szCs w:val="20"/>
        </w:rPr>
        <w:t xml:space="preserve"> </w:t>
      </w:r>
      <w:r w:rsidR="00F670DC" w:rsidRPr="09CE1AAE">
        <w:rPr>
          <w:rFonts w:ascii="Arial" w:hAnsi="Arial" w:cs="Arial"/>
          <w:sz w:val="20"/>
          <w:szCs w:val="20"/>
        </w:rPr>
        <w:t>absence</w:t>
      </w:r>
      <w:r w:rsidRPr="09CE1AAE">
        <w:rPr>
          <w:rFonts w:ascii="Arial" w:hAnsi="Arial" w:cs="Arial"/>
          <w:sz w:val="20"/>
          <w:szCs w:val="20"/>
        </w:rPr>
        <w:t xml:space="preserve"> totale de limitation dans le temps</w:t>
      </w:r>
      <w:r w:rsidR="00F670DC" w:rsidRPr="09CE1AAE">
        <w:rPr>
          <w:rFonts w:ascii="Arial" w:hAnsi="Arial" w:cs="Arial"/>
          <w:sz w:val="20"/>
          <w:szCs w:val="20"/>
        </w:rPr>
        <w:t xml:space="preserve"> </w:t>
      </w:r>
      <w:r w:rsidR="00CC3D37" w:rsidRPr="09CE1AAE">
        <w:rPr>
          <w:rFonts w:ascii="Arial" w:hAnsi="Arial" w:cs="Arial"/>
          <w:sz w:val="20"/>
          <w:szCs w:val="20"/>
        </w:rPr>
        <w:t xml:space="preserve">du droit à indemnisation </w:t>
      </w:r>
      <w:r w:rsidR="00F670DC" w:rsidRPr="09CE1AAE">
        <w:rPr>
          <w:rFonts w:ascii="Arial" w:hAnsi="Arial" w:cs="Arial"/>
          <w:sz w:val="20"/>
          <w:szCs w:val="20"/>
        </w:rPr>
        <w:t xml:space="preserve">pourrait inciter les utilisateurs </w:t>
      </w:r>
      <w:r w:rsidR="00863789" w:rsidRPr="09CE1AAE">
        <w:rPr>
          <w:rFonts w:ascii="Arial" w:hAnsi="Arial" w:cs="Arial"/>
          <w:sz w:val="20"/>
          <w:szCs w:val="20"/>
        </w:rPr>
        <w:t xml:space="preserve">à réserver des puissances sans rapport avec leurs besoins </w:t>
      </w:r>
      <w:r w:rsidR="00C008E6" w:rsidRPr="09CE1AAE">
        <w:rPr>
          <w:rFonts w:ascii="Arial" w:hAnsi="Arial" w:cs="Arial"/>
          <w:sz w:val="20"/>
          <w:szCs w:val="20"/>
        </w:rPr>
        <w:t>et</w:t>
      </w:r>
      <w:r w:rsidR="00CC3D37" w:rsidRPr="09CE1AAE">
        <w:rPr>
          <w:rFonts w:ascii="Arial" w:hAnsi="Arial" w:cs="Arial"/>
          <w:sz w:val="20"/>
          <w:szCs w:val="20"/>
        </w:rPr>
        <w:t xml:space="preserve"> donc </w:t>
      </w:r>
      <w:r w:rsidR="00C008E6" w:rsidRPr="09CE1AAE">
        <w:rPr>
          <w:rFonts w:ascii="Arial" w:hAnsi="Arial" w:cs="Arial"/>
          <w:sz w:val="20"/>
          <w:szCs w:val="20"/>
        </w:rPr>
        <w:t>à annuler les effets de la réforme proposée.</w:t>
      </w:r>
    </w:p>
    <w:p w14:paraId="3D2B29B4" w14:textId="77777777" w:rsidR="000977C9" w:rsidRDefault="000977C9" w:rsidP="001D2D1C">
      <w:pPr>
        <w:jc w:val="both"/>
        <w:rPr>
          <w:rFonts w:ascii="Arial" w:hAnsi="Arial" w:cs="Arial"/>
          <w:i/>
          <w:iCs/>
          <w:color w:val="2F5496" w:themeColor="accent1" w:themeShade="BF"/>
          <w:sz w:val="20"/>
          <w:szCs w:val="20"/>
        </w:rPr>
      </w:pPr>
    </w:p>
    <w:p w14:paraId="2EA3C0F0" w14:textId="77777777" w:rsidR="00EA288F" w:rsidRDefault="000771A0" w:rsidP="00EA288F">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11 : Une durée comprise entre 2 ans et 5 ans pour que les utilisateurs puissent formuler une demande d’augmentation de puissance et bénéficier d’une indemnisation vous parait-elle cohérente ?</w:t>
      </w:r>
    </w:p>
    <w:p w14:paraId="3D74EEEA" w14:textId="42BD19ED" w:rsidR="008E13C9" w:rsidRPr="00EA288F" w:rsidRDefault="00F17412" w:rsidP="00EA288F">
      <w:pPr>
        <w:jc w:val="both"/>
        <w:rPr>
          <w:rFonts w:ascii="Arial" w:hAnsi="Arial" w:cs="Arial"/>
          <w:sz w:val="20"/>
          <w:szCs w:val="20"/>
        </w:rPr>
      </w:pPr>
      <w:r>
        <w:rPr>
          <w:rFonts w:ascii="Arial" w:hAnsi="Arial" w:cs="Arial"/>
          <w:sz w:val="20"/>
          <w:szCs w:val="20"/>
        </w:rPr>
        <w:t xml:space="preserve">Pour les raisons déjà exposées, </w:t>
      </w:r>
      <w:r w:rsidR="00231DFA">
        <w:rPr>
          <w:rFonts w:ascii="Arial" w:hAnsi="Arial" w:cs="Arial"/>
          <w:sz w:val="20"/>
          <w:szCs w:val="20"/>
        </w:rPr>
        <w:t xml:space="preserve">le délai de </w:t>
      </w:r>
      <w:r>
        <w:rPr>
          <w:rFonts w:ascii="Arial" w:hAnsi="Arial" w:cs="Arial"/>
          <w:sz w:val="20"/>
          <w:szCs w:val="20"/>
        </w:rPr>
        <w:t xml:space="preserve">deux </w:t>
      </w:r>
      <w:r w:rsidR="009D2884">
        <w:rPr>
          <w:rFonts w:ascii="Arial" w:hAnsi="Arial" w:cs="Arial"/>
          <w:sz w:val="20"/>
          <w:szCs w:val="20"/>
        </w:rPr>
        <w:t xml:space="preserve">ans </w:t>
      </w:r>
      <w:r w:rsidR="00231DFA">
        <w:rPr>
          <w:rFonts w:ascii="Arial" w:hAnsi="Arial" w:cs="Arial"/>
          <w:sz w:val="20"/>
          <w:szCs w:val="20"/>
        </w:rPr>
        <w:t>para</w:t>
      </w:r>
      <w:r w:rsidR="00373A8C">
        <w:rPr>
          <w:rFonts w:ascii="Arial" w:hAnsi="Arial" w:cs="Arial"/>
          <w:sz w:val="20"/>
          <w:szCs w:val="20"/>
        </w:rPr>
        <w:t>î</w:t>
      </w:r>
      <w:r w:rsidR="00231DFA">
        <w:rPr>
          <w:rFonts w:ascii="Arial" w:hAnsi="Arial" w:cs="Arial"/>
          <w:sz w:val="20"/>
          <w:szCs w:val="20"/>
        </w:rPr>
        <w:t xml:space="preserve">t </w:t>
      </w:r>
      <w:r w:rsidR="009D2884">
        <w:rPr>
          <w:rFonts w:ascii="Arial" w:hAnsi="Arial" w:cs="Arial"/>
          <w:sz w:val="20"/>
          <w:szCs w:val="20"/>
        </w:rPr>
        <w:t>trop cour</w:t>
      </w:r>
      <w:r w:rsidR="00373A8C">
        <w:rPr>
          <w:rFonts w:ascii="Arial" w:hAnsi="Arial" w:cs="Arial"/>
          <w:sz w:val="20"/>
          <w:szCs w:val="20"/>
        </w:rPr>
        <w:t>t pour évalu</w:t>
      </w:r>
      <w:r w:rsidR="00E26708">
        <w:rPr>
          <w:rFonts w:ascii="Arial" w:hAnsi="Arial" w:cs="Arial"/>
          <w:sz w:val="20"/>
          <w:szCs w:val="20"/>
        </w:rPr>
        <w:t>er le besoin de puissance de raccordement</w:t>
      </w:r>
      <w:r w:rsidR="005A0987">
        <w:rPr>
          <w:rFonts w:ascii="Arial" w:hAnsi="Arial" w:cs="Arial"/>
          <w:sz w:val="20"/>
          <w:szCs w:val="20"/>
        </w:rPr>
        <w:t xml:space="preserve"> </w:t>
      </w:r>
      <w:r w:rsidR="00344922">
        <w:rPr>
          <w:rFonts w:ascii="Arial" w:hAnsi="Arial" w:cs="Arial"/>
          <w:sz w:val="20"/>
          <w:szCs w:val="20"/>
        </w:rPr>
        <w:t>de certaines installations</w:t>
      </w:r>
      <w:r w:rsidR="00E26708">
        <w:rPr>
          <w:rFonts w:ascii="Arial" w:hAnsi="Arial" w:cs="Arial"/>
          <w:sz w:val="20"/>
          <w:szCs w:val="20"/>
        </w:rPr>
        <w:t xml:space="preserve"> </w:t>
      </w:r>
      <w:r w:rsidR="00344922">
        <w:rPr>
          <w:rFonts w:ascii="Arial" w:hAnsi="Arial" w:cs="Arial"/>
          <w:sz w:val="20"/>
          <w:szCs w:val="20"/>
        </w:rPr>
        <w:t xml:space="preserve">(électrolyseurs et IRVE notamment) </w:t>
      </w:r>
      <w:r w:rsidR="00E26708">
        <w:rPr>
          <w:rFonts w:ascii="Arial" w:hAnsi="Arial" w:cs="Arial"/>
          <w:sz w:val="20"/>
          <w:szCs w:val="20"/>
        </w:rPr>
        <w:t>et donc</w:t>
      </w:r>
      <w:r w:rsidR="000A3974">
        <w:rPr>
          <w:rFonts w:ascii="Arial" w:hAnsi="Arial" w:cs="Arial"/>
          <w:sz w:val="20"/>
          <w:szCs w:val="20"/>
        </w:rPr>
        <w:t xml:space="preserve"> trop court pour borner</w:t>
      </w:r>
      <w:r w:rsidR="00461F96">
        <w:rPr>
          <w:rFonts w:ascii="Arial" w:hAnsi="Arial" w:cs="Arial"/>
          <w:sz w:val="20"/>
          <w:szCs w:val="20"/>
        </w:rPr>
        <w:t xml:space="preserve"> le droit à indemnisation.</w:t>
      </w:r>
    </w:p>
    <w:p w14:paraId="4D1CDE85" w14:textId="77777777" w:rsidR="000771A0" w:rsidRDefault="000771A0" w:rsidP="001D2D1C">
      <w:pPr>
        <w:jc w:val="both"/>
        <w:rPr>
          <w:rFonts w:ascii="Arial" w:hAnsi="Arial" w:cs="Arial"/>
          <w:i/>
          <w:iCs/>
          <w:color w:val="2F5496" w:themeColor="accent1" w:themeShade="BF"/>
          <w:sz w:val="20"/>
          <w:szCs w:val="20"/>
        </w:rPr>
      </w:pPr>
    </w:p>
    <w:p w14:paraId="328D9DF3" w14:textId="00AECDE1" w:rsidR="000771A0" w:rsidRPr="00950DD6" w:rsidRDefault="000771A0" w:rsidP="001D2D1C">
      <w:pPr>
        <w:jc w:val="both"/>
        <w:rPr>
          <w:rFonts w:ascii="Arial" w:hAnsi="Arial" w:cs="Arial"/>
          <w:b/>
          <w:bCs/>
          <w:i/>
          <w:iCs/>
          <w:color w:val="2F5496" w:themeColor="accent1" w:themeShade="BF"/>
          <w:sz w:val="20"/>
          <w:szCs w:val="20"/>
        </w:rPr>
      </w:pPr>
      <w:r w:rsidRPr="00950DD6">
        <w:rPr>
          <w:rFonts w:ascii="Arial" w:hAnsi="Arial" w:cs="Arial"/>
          <w:b/>
          <w:bCs/>
          <w:i/>
          <w:iCs/>
          <w:color w:val="2F5496" w:themeColor="accent1" w:themeShade="BF"/>
          <w:sz w:val="20"/>
          <w:szCs w:val="20"/>
        </w:rPr>
        <w:t>Question 12 : Considérez-vous, dans le cas où une indemnisation serait versée à l’utilisateur, que cette dernière devrait, ou non, être dégressive en fonction de son ancienneté ?</w:t>
      </w:r>
    </w:p>
    <w:p w14:paraId="6744710C" w14:textId="74A63BE2" w:rsidR="000977C9" w:rsidRPr="00A3162B" w:rsidRDefault="00ED622F" w:rsidP="007F131D">
      <w:pPr>
        <w:spacing w:after="0"/>
        <w:jc w:val="both"/>
        <w:rPr>
          <w:rFonts w:ascii="Arial" w:hAnsi="Arial" w:cs="Arial"/>
          <w:sz w:val="20"/>
          <w:szCs w:val="20"/>
        </w:rPr>
      </w:pPr>
      <w:r>
        <w:rPr>
          <w:rFonts w:ascii="Arial" w:hAnsi="Arial" w:cs="Arial"/>
          <w:sz w:val="20"/>
          <w:szCs w:val="20"/>
        </w:rPr>
        <w:t xml:space="preserve">Une </w:t>
      </w:r>
      <w:r w:rsidR="005C1983">
        <w:rPr>
          <w:rFonts w:ascii="Arial" w:hAnsi="Arial" w:cs="Arial"/>
          <w:sz w:val="20"/>
          <w:szCs w:val="20"/>
        </w:rPr>
        <w:t>indemnisation dégressive</w:t>
      </w:r>
      <w:r w:rsidR="00DF7AC0">
        <w:rPr>
          <w:rFonts w:ascii="Arial" w:hAnsi="Arial" w:cs="Arial"/>
          <w:sz w:val="20"/>
          <w:szCs w:val="20"/>
        </w:rPr>
        <w:t xml:space="preserve"> paraît de nature </w:t>
      </w:r>
      <w:r w:rsidR="00EF2433">
        <w:rPr>
          <w:rFonts w:ascii="Arial" w:hAnsi="Arial" w:cs="Arial"/>
          <w:sz w:val="20"/>
          <w:szCs w:val="20"/>
        </w:rPr>
        <w:t>à inciter à l’</w:t>
      </w:r>
      <w:r w:rsidR="00C006E3">
        <w:rPr>
          <w:rFonts w:ascii="Arial" w:hAnsi="Arial" w:cs="Arial"/>
          <w:sz w:val="20"/>
          <w:szCs w:val="20"/>
        </w:rPr>
        <w:t xml:space="preserve">installation </w:t>
      </w:r>
      <w:r w:rsidR="00EF2433">
        <w:rPr>
          <w:rFonts w:ascii="Arial" w:hAnsi="Arial" w:cs="Arial"/>
          <w:sz w:val="20"/>
          <w:szCs w:val="20"/>
        </w:rPr>
        <w:t xml:space="preserve">rapide </w:t>
      </w:r>
      <w:r w:rsidR="00C006E3">
        <w:rPr>
          <w:rFonts w:ascii="Arial" w:hAnsi="Arial" w:cs="Arial"/>
          <w:sz w:val="20"/>
          <w:szCs w:val="20"/>
        </w:rPr>
        <w:t xml:space="preserve">de certains équipements alors </w:t>
      </w:r>
      <w:r w:rsidR="00B44DB3">
        <w:rPr>
          <w:rFonts w:ascii="Arial" w:hAnsi="Arial" w:cs="Arial"/>
          <w:sz w:val="20"/>
          <w:szCs w:val="20"/>
        </w:rPr>
        <w:t xml:space="preserve">que cette installation ne serait pas, sinon, économiquement fondée. </w:t>
      </w:r>
      <w:r w:rsidR="00EF2433">
        <w:rPr>
          <w:rFonts w:ascii="Arial" w:hAnsi="Arial" w:cs="Arial"/>
          <w:sz w:val="20"/>
          <w:szCs w:val="20"/>
        </w:rPr>
        <w:t>C’est pourquoi EDF n’y est pas favorable</w:t>
      </w:r>
      <w:r w:rsidR="008C29D2">
        <w:rPr>
          <w:rFonts w:ascii="Arial" w:hAnsi="Arial" w:cs="Arial"/>
          <w:sz w:val="20"/>
          <w:szCs w:val="20"/>
        </w:rPr>
        <w:t>.</w:t>
      </w:r>
    </w:p>
    <w:p w14:paraId="16E9BCAC" w14:textId="77777777" w:rsidR="000771A0" w:rsidRDefault="000771A0" w:rsidP="001D2D1C">
      <w:pPr>
        <w:jc w:val="both"/>
        <w:rPr>
          <w:rFonts w:ascii="Arial" w:hAnsi="Arial" w:cs="Arial"/>
          <w:i/>
          <w:iCs/>
          <w:color w:val="2F5496" w:themeColor="accent1" w:themeShade="BF"/>
          <w:sz w:val="20"/>
          <w:szCs w:val="20"/>
        </w:rPr>
      </w:pPr>
    </w:p>
    <w:p w14:paraId="7DF13D87" w14:textId="528A18E4" w:rsidR="000771A0" w:rsidRPr="00186750" w:rsidRDefault="000771A0" w:rsidP="001D2D1C">
      <w:pPr>
        <w:jc w:val="both"/>
        <w:rPr>
          <w:rFonts w:ascii="Arial" w:hAnsi="Arial" w:cs="Arial"/>
          <w:b/>
          <w:bCs/>
          <w:i/>
          <w:iCs/>
          <w:color w:val="2F5496" w:themeColor="accent1" w:themeShade="BF"/>
          <w:sz w:val="20"/>
          <w:szCs w:val="20"/>
        </w:rPr>
      </w:pPr>
      <w:r w:rsidRPr="00186750">
        <w:rPr>
          <w:rFonts w:ascii="Arial" w:hAnsi="Arial" w:cs="Arial"/>
          <w:b/>
          <w:bCs/>
          <w:i/>
          <w:iCs/>
          <w:color w:val="2F5496" w:themeColor="accent1" w:themeShade="BF"/>
          <w:sz w:val="20"/>
          <w:szCs w:val="20"/>
        </w:rPr>
        <w:t>Question 13 : En cas d’indemnisation selon l’option 2.1, êtes-vous favorable à la méthode de détermination des montants d’indemnité proposée par la CRE ?</w:t>
      </w:r>
    </w:p>
    <w:p w14:paraId="7E38EE22" w14:textId="35318649" w:rsidR="000771A0" w:rsidRPr="007F131D" w:rsidRDefault="00836C88" w:rsidP="001D2D1C">
      <w:pPr>
        <w:jc w:val="both"/>
        <w:rPr>
          <w:rFonts w:ascii="Arial" w:hAnsi="Arial" w:cs="Arial"/>
          <w:sz w:val="20"/>
          <w:szCs w:val="20"/>
        </w:rPr>
      </w:pPr>
      <w:r w:rsidRPr="007F131D">
        <w:rPr>
          <w:rFonts w:ascii="Arial" w:hAnsi="Arial" w:cs="Arial"/>
          <w:sz w:val="20"/>
          <w:szCs w:val="20"/>
        </w:rPr>
        <w:t>EDF n’est pas favorable à cette option.</w:t>
      </w:r>
    </w:p>
    <w:p w14:paraId="52F0234D" w14:textId="77777777" w:rsidR="000771A0" w:rsidRDefault="000771A0" w:rsidP="001D2D1C">
      <w:pPr>
        <w:jc w:val="both"/>
        <w:rPr>
          <w:rFonts w:ascii="Arial" w:hAnsi="Arial" w:cs="Arial"/>
          <w:i/>
          <w:iCs/>
          <w:color w:val="2F5496" w:themeColor="accent1" w:themeShade="BF"/>
          <w:sz w:val="20"/>
          <w:szCs w:val="20"/>
        </w:rPr>
      </w:pPr>
    </w:p>
    <w:p w14:paraId="2AD26479" w14:textId="691482F0" w:rsidR="000771A0" w:rsidRPr="00186750" w:rsidRDefault="000771A0" w:rsidP="001D2D1C">
      <w:pPr>
        <w:jc w:val="both"/>
        <w:rPr>
          <w:rFonts w:ascii="Arial" w:hAnsi="Arial" w:cs="Arial"/>
          <w:b/>
          <w:bCs/>
          <w:i/>
          <w:iCs/>
          <w:color w:val="2F5496" w:themeColor="accent1" w:themeShade="BF"/>
          <w:sz w:val="20"/>
          <w:szCs w:val="20"/>
        </w:rPr>
      </w:pPr>
      <w:r w:rsidRPr="00186750">
        <w:rPr>
          <w:rFonts w:ascii="Arial" w:hAnsi="Arial" w:cs="Arial"/>
          <w:b/>
          <w:bCs/>
          <w:i/>
          <w:iCs/>
          <w:color w:val="2F5496" w:themeColor="accent1" w:themeShade="BF"/>
          <w:sz w:val="20"/>
          <w:szCs w:val="20"/>
        </w:rPr>
        <w:t>Question 14 : Que pensez-vous des forfaits obtenus pour les réseaux de transport et de distribution ? Êtes-vous favorable à l’application du même forfait pour l’ensemble des GRD ?</w:t>
      </w:r>
    </w:p>
    <w:p w14:paraId="1AC864F3" w14:textId="28543182" w:rsidR="000771A0" w:rsidRPr="00EA288F" w:rsidRDefault="2DA6ABDE" w:rsidP="001D2D1C">
      <w:pPr>
        <w:jc w:val="both"/>
        <w:rPr>
          <w:rFonts w:ascii="Arial" w:hAnsi="Arial" w:cs="Arial"/>
          <w:sz w:val="20"/>
          <w:szCs w:val="20"/>
        </w:rPr>
      </w:pPr>
      <w:r w:rsidRPr="5F932947">
        <w:rPr>
          <w:rFonts w:ascii="Arial" w:hAnsi="Arial" w:cs="Arial"/>
          <w:sz w:val="20"/>
          <w:szCs w:val="20"/>
        </w:rPr>
        <w:t xml:space="preserve">Une </w:t>
      </w:r>
      <w:r w:rsidR="2F0017CD" w:rsidRPr="5F932947">
        <w:rPr>
          <w:rFonts w:ascii="Arial" w:hAnsi="Arial" w:cs="Arial"/>
          <w:sz w:val="20"/>
          <w:szCs w:val="20"/>
        </w:rPr>
        <w:t>indemnisation</w:t>
      </w:r>
      <w:r w:rsidRPr="5F932947">
        <w:rPr>
          <w:rFonts w:ascii="Arial" w:hAnsi="Arial" w:cs="Arial"/>
          <w:sz w:val="20"/>
          <w:szCs w:val="20"/>
        </w:rPr>
        <w:t xml:space="preserve"> sur la base d’un forfait </w:t>
      </w:r>
      <w:r w:rsidR="1422B371" w:rsidRPr="5F932947">
        <w:rPr>
          <w:rFonts w:ascii="Arial" w:hAnsi="Arial" w:cs="Arial"/>
          <w:sz w:val="20"/>
          <w:szCs w:val="20"/>
        </w:rPr>
        <w:t>est une incitation à un positionnement judicieux des installations</w:t>
      </w:r>
      <w:r w:rsidR="7720CC01" w:rsidRPr="5F932947">
        <w:rPr>
          <w:rFonts w:ascii="Arial" w:hAnsi="Arial" w:cs="Arial"/>
          <w:sz w:val="20"/>
          <w:szCs w:val="20"/>
        </w:rPr>
        <w:t xml:space="preserve"> vis-à-vis du réseau mais certaines contraintes techniques</w:t>
      </w:r>
      <w:r w:rsidR="2F0017CD" w:rsidRPr="5F932947">
        <w:rPr>
          <w:rFonts w:ascii="Arial" w:hAnsi="Arial" w:cs="Arial"/>
          <w:sz w:val="20"/>
          <w:szCs w:val="20"/>
        </w:rPr>
        <w:t xml:space="preserve"> justifient que d’autres critères soient pris en compte</w:t>
      </w:r>
      <w:r w:rsidR="6B96DB55" w:rsidRPr="5F932947">
        <w:rPr>
          <w:rFonts w:ascii="Arial" w:hAnsi="Arial" w:cs="Arial"/>
          <w:sz w:val="20"/>
          <w:szCs w:val="20"/>
        </w:rPr>
        <w:t xml:space="preserve">. C’est </w:t>
      </w:r>
      <w:r w:rsidR="770ADE3C" w:rsidRPr="5F932947">
        <w:rPr>
          <w:rFonts w:ascii="Arial" w:hAnsi="Arial" w:cs="Arial"/>
          <w:sz w:val="20"/>
          <w:szCs w:val="20"/>
        </w:rPr>
        <w:t xml:space="preserve">pourquoi EDF n’est pas favorable à ce </w:t>
      </w:r>
      <w:r w:rsidR="090FF5C3" w:rsidRPr="5F932947">
        <w:rPr>
          <w:rFonts w:ascii="Arial" w:hAnsi="Arial" w:cs="Arial"/>
          <w:sz w:val="20"/>
          <w:szCs w:val="20"/>
        </w:rPr>
        <w:t>que la compensation soit facturée sur la base d’un forfait universel</w:t>
      </w:r>
      <w:r w:rsidR="4BA4970C" w:rsidRPr="5F932947">
        <w:rPr>
          <w:rFonts w:ascii="Arial" w:hAnsi="Arial" w:cs="Arial"/>
          <w:sz w:val="20"/>
          <w:szCs w:val="20"/>
        </w:rPr>
        <w:t>.</w:t>
      </w:r>
    </w:p>
    <w:p w14:paraId="5AADB3F7" w14:textId="77777777" w:rsidR="000771A0" w:rsidRPr="00186750" w:rsidRDefault="000771A0" w:rsidP="001D2D1C">
      <w:pPr>
        <w:jc w:val="both"/>
        <w:rPr>
          <w:rFonts w:ascii="Arial" w:hAnsi="Arial" w:cs="Arial"/>
          <w:b/>
          <w:bCs/>
          <w:i/>
          <w:iCs/>
          <w:color w:val="2F5496" w:themeColor="accent1" w:themeShade="BF"/>
          <w:sz w:val="20"/>
          <w:szCs w:val="20"/>
        </w:rPr>
      </w:pPr>
    </w:p>
    <w:p w14:paraId="64653652" w14:textId="14D56C70" w:rsidR="000771A0" w:rsidRPr="00186750" w:rsidRDefault="000771A0" w:rsidP="001D2D1C">
      <w:pPr>
        <w:jc w:val="both"/>
        <w:rPr>
          <w:rFonts w:ascii="Arial" w:hAnsi="Arial" w:cs="Arial"/>
          <w:b/>
          <w:bCs/>
          <w:i/>
          <w:iCs/>
          <w:color w:val="2F5496" w:themeColor="accent1" w:themeShade="BF"/>
          <w:sz w:val="20"/>
          <w:szCs w:val="20"/>
        </w:rPr>
      </w:pPr>
      <w:r w:rsidRPr="00186750">
        <w:rPr>
          <w:rFonts w:ascii="Arial" w:hAnsi="Arial" w:cs="Arial"/>
          <w:b/>
          <w:bCs/>
          <w:i/>
          <w:iCs/>
          <w:color w:val="2F5496" w:themeColor="accent1" w:themeShade="BF"/>
          <w:sz w:val="20"/>
          <w:szCs w:val="20"/>
        </w:rPr>
        <w:t xml:space="preserve">Question 15 : Etes-vous favorable la durée </w:t>
      </w:r>
      <w:proofErr w:type="spellStart"/>
      <w:r w:rsidRPr="00186750">
        <w:rPr>
          <w:rFonts w:ascii="Arial" w:hAnsi="Arial" w:cs="Arial"/>
          <w:b/>
          <w:bCs/>
          <w:i/>
          <w:iCs/>
          <w:color w:val="2F5496" w:themeColor="accent1" w:themeShade="BF"/>
          <w:sz w:val="20"/>
          <w:szCs w:val="20"/>
        </w:rPr>
        <w:t>Nmoy</w:t>
      </w:r>
      <w:proofErr w:type="spellEnd"/>
      <w:r w:rsidRPr="00186750">
        <w:rPr>
          <w:rFonts w:ascii="Arial" w:hAnsi="Arial" w:cs="Arial"/>
          <w:b/>
          <w:bCs/>
          <w:i/>
          <w:iCs/>
          <w:color w:val="2F5496" w:themeColor="accent1" w:themeShade="BF"/>
          <w:sz w:val="20"/>
          <w:szCs w:val="20"/>
        </w:rPr>
        <w:t xml:space="preserve"> de 25 ans considérée dans le cas où la date du raccordement de l’utilisateur n’est pas connue ?</w:t>
      </w:r>
    </w:p>
    <w:p w14:paraId="631FFDF9" w14:textId="7808768C" w:rsidR="000771A0" w:rsidRPr="008C70CB" w:rsidRDefault="008C70CB" w:rsidP="001D2D1C">
      <w:pPr>
        <w:jc w:val="both"/>
        <w:rPr>
          <w:rFonts w:ascii="Arial" w:hAnsi="Arial" w:cs="Arial"/>
          <w:sz w:val="20"/>
          <w:szCs w:val="20"/>
        </w:rPr>
      </w:pPr>
      <w:r w:rsidRPr="008C70CB">
        <w:rPr>
          <w:rFonts w:ascii="Arial" w:hAnsi="Arial" w:cs="Arial"/>
          <w:sz w:val="20"/>
          <w:szCs w:val="20"/>
        </w:rPr>
        <w:t>Oui.</w:t>
      </w:r>
    </w:p>
    <w:p w14:paraId="24517253" w14:textId="77777777" w:rsidR="000771A0" w:rsidRDefault="000771A0" w:rsidP="001D2D1C">
      <w:pPr>
        <w:jc w:val="both"/>
        <w:rPr>
          <w:rFonts w:ascii="Arial" w:hAnsi="Arial" w:cs="Arial"/>
          <w:i/>
          <w:iCs/>
          <w:color w:val="2F5496" w:themeColor="accent1" w:themeShade="BF"/>
          <w:sz w:val="20"/>
          <w:szCs w:val="20"/>
        </w:rPr>
      </w:pPr>
    </w:p>
    <w:p w14:paraId="19E1C2C1" w14:textId="5D5F1910" w:rsidR="000771A0" w:rsidRPr="00186750" w:rsidRDefault="000771A0" w:rsidP="001D2D1C">
      <w:pPr>
        <w:jc w:val="both"/>
        <w:rPr>
          <w:rFonts w:ascii="Arial" w:hAnsi="Arial" w:cs="Arial"/>
          <w:b/>
          <w:bCs/>
          <w:i/>
          <w:iCs/>
          <w:color w:val="2F5496" w:themeColor="accent1" w:themeShade="BF"/>
          <w:sz w:val="20"/>
          <w:szCs w:val="20"/>
        </w:rPr>
      </w:pPr>
      <w:r w:rsidRPr="00186750">
        <w:rPr>
          <w:rFonts w:ascii="Arial" w:hAnsi="Arial" w:cs="Arial"/>
          <w:b/>
          <w:bCs/>
          <w:i/>
          <w:iCs/>
          <w:color w:val="2F5496" w:themeColor="accent1" w:themeShade="BF"/>
          <w:sz w:val="20"/>
          <w:szCs w:val="20"/>
        </w:rPr>
        <w:t>Question 16 : Si une indemnisation est versée aux utilisateurs concernés, quelle méthode d’indemnisation vous parait la plus adaptée (en fonction de la participation initiale du client ou des coûts des nouveaux travaux nécessaires) ?</w:t>
      </w:r>
    </w:p>
    <w:p w14:paraId="65B41BB2" w14:textId="66410EE6" w:rsidR="000771A0" w:rsidRPr="00F326E6" w:rsidRDefault="00EB204A" w:rsidP="001D2D1C">
      <w:pPr>
        <w:jc w:val="both"/>
        <w:rPr>
          <w:rFonts w:ascii="Arial" w:hAnsi="Arial" w:cs="Arial"/>
          <w:sz w:val="20"/>
          <w:szCs w:val="20"/>
        </w:rPr>
      </w:pPr>
      <w:r w:rsidRPr="00F326E6">
        <w:rPr>
          <w:rFonts w:ascii="Arial" w:hAnsi="Arial" w:cs="Arial"/>
          <w:sz w:val="20"/>
          <w:szCs w:val="20"/>
        </w:rPr>
        <w:t>L</w:t>
      </w:r>
      <w:r w:rsidR="004D56CC" w:rsidRPr="00F326E6">
        <w:rPr>
          <w:rFonts w:ascii="Arial" w:hAnsi="Arial" w:cs="Arial"/>
          <w:sz w:val="20"/>
          <w:szCs w:val="20"/>
        </w:rPr>
        <w:t>ogiqueme</w:t>
      </w:r>
      <w:r w:rsidR="00C860F8" w:rsidRPr="00F326E6">
        <w:rPr>
          <w:rFonts w:ascii="Arial" w:hAnsi="Arial" w:cs="Arial"/>
          <w:sz w:val="20"/>
          <w:szCs w:val="20"/>
        </w:rPr>
        <w:t>nt, l</w:t>
      </w:r>
      <w:r w:rsidRPr="00F326E6">
        <w:rPr>
          <w:rFonts w:ascii="Arial" w:hAnsi="Arial" w:cs="Arial"/>
          <w:sz w:val="20"/>
          <w:szCs w:val="20"/>
        </w:rPr>
        <w:t xml:space="preserve">’indemnisation de retour </w:t>
      </w:r>
      <w:r w:rsidR="00533CA6" w:rsidRPr="00F326E6">
        <w:rPr>
          <w:rFonts w:ascii="Arial" w:hAnsi="Arial" w:cs="Arial"/>
          <w:sz w:val="20"/>
          <w:szCs w:val="20"/>
        </w:rPr>
        <w:t>à la puissance initialement souscrite d</w:t>
      </w:r>
      <w:r w:rsidR="00C860F8" w:rsidRPr="00F326E6">
        <w:rPr>
          <w:rFonts w:ascii="Arial" w:hAnsi="Arial" w:cs="Arial"/>
          <w:sz w:val="20"/>
          <w:szCs w:val="20"/>
        </w:rPr>
        <w:t>evrai</w:t>
      </w:r>
      <w:r w:rsidR="00533CA6" w:rsidRPr="00F326E6">
        <w:rPr>
          <w:rFonts w:ascii="Arial" w:hAnsi="Arial" w:cs="Arial"/>
          <w:sz w:val="20"/>
          <w:szCs w:val="20"/>
        </w:rPr>
        <w:t>t couvrir les frais effectifs et actuels</w:t>
      </w:r>
      <w:r w:rsidR="00C860F8" w:rsidRPr="00F326E6">
        <w:rPr>
          <w:rFonts w:ascii="Arial" w:hAnsi="Arial" w:cs="Arial"/>
          <w:sz w:val="20"/>
          <w:szCs w:val="20"/>
        </w:rPr>
        <w:t xml:space="preserve"> des travaux néc</w:t>
      </w:r>
      <w:r w:rsidR="000C5316" w:rsidRPr="00F326E6">
        <w:rPr>
          <w:rFonts w:ascii="Arial" w:hAnsi="Arial" w:cs="Arial"/>
          <w:sz w:val="20"/>
          <w:szCs w:val="20"/>
        </w:rPr>
        <w:t xml:space="preserve">essaires. </w:t>
      </w:r>
    </w:p>
    <w:p w14:paraId="50F6C229" w14:textId="77777777" w:rsidR="000771A0" w:rsidRDefault="000771A0" w:rsidP="001D2D1C">
      <w:pPr>
        <w:jc w:val="both"/>
        <w:rPr>
          <w:rFonts w:ascii="Arial" w:hAnsi="Arial" w:cs="Arial"/>
          <w:i/>
          <w:iCs/>
          <w:color w:val="2F5496" w:themeColor="accent1" w:themeShade="BF"/>
          <w:sz w:val="20"/>
          <w:szCs w:val="20"/>
        </w:rPr>
      </w:pPr>
    </w:p>
    <w:p w14:paraId="04F92D39" w14:textId="49976B28" w:rsidR="000771A0" w:rsidRPr="00186750" w:rsidRDefault="000771A0" w:rsidP="001D2D1C">
      <w:pPr>
        <w:jc w:val="both"/>
        <w:rPr>
          <w:rFonts w:ascii="Arial" w:hAnsi="Arial" w:cs="Arial"/>
          <w:b/>
          <w:bCs/>
          <w:i/>
          <w:iCs/>
          <w:color w:val="2F5496" w:themeColor="accent1" w:themeShade="BF"/>
          <w:sz w:val="20"/>
          <w:szCs w:val="20"/>
        </w:rPr>
      </w:pPr>
      <w:r w:rsidRPr="00186750">
        <w:rPr>
          <w:rFonts w:ascii="Arial" w:hAnsi="Arial" w:cs="Arial"/>
          <w:b/>
          <w:bCs/>
          <w:i/>
          <w:iCs/>
          <w:color w:val="2F5496" w:themeColor="accent1" w:themeShade="BF"/>
          <w:sz w:val="20"/>
          <w:szCs w:val="20"/>
        </w:rPr>
        <w:t>Question 17 : En cas d’indemnisation selon l’option 2.2, êtes-vous favorable au pourcentage de 40 % du coût des travaux à la charge de l’utilisateur pour déterminer le montant de l’indemnisation ?</w:t>
      </w:r>
    </w:p>
    <w:p w14:paraId="3F6839B8" w14:textId="4FFD11EE" w:rsidR="000771A0" w:rsidRPr="006A1344" w:rsidRDefault="006A1344" w:rsidP="001D2D1C">
      <w:pPr>
        <w:jc w:val="both"/>
        <w:rPr>
          <w:rFonts w:ascii="Arial" w:hAnsi="Arial" w:cs="Arial"/>
          <w:sz w:val="20"/>
          <w:szCs w:val="20"/>
        </w:rPr>
      </w:pPr>
      <w:r w:rsidRPr="006A1344">
        <w:rPr>
          <w:rFonts w:ascii="Arial" w:hAnsi="Arial" w:cs="Arial"/>
          <w:sz w:val="20"/>
          <w:szCs w:val="20"/>
        </w:rPr>
        <w:t>EDF n’a pas instruit cette question.</w:t>
      </w:r>
    </w:p>
    <w:p w14:paraId="3B606164" w14:textId="77777777" w:rsidR="000771A0" w:rsidRDefault="000771A0" w:rsidP="001D2D1C">
      <w:pPr>
        <w:jc w:val="both"/>
        <w:rPr>
          <w:rFonts w:ascii="Arial" w:hAnsi="Arial" w:cs="Arial"/>
          <w:i/>
          <w:iCs/>
          <w:color w:val="2F5496" w:themeColor="accent1" w:themeShade="BF"/>
          <w:sz w:val="20"/>
          <w:szCs w:val="20"/>
        </w:rPr>
      </w:pPr>
    </w:p>
    <w:p w14:paraId="02D32A00" w14:textId="1C7B25A8" w:rsidR="00CC4FDD" w:rsidRPr="00186750" w:rsidRDefault="000771A0" w:rsidP="001D2D1C">
      <w:pPr>
        <w:jc w:val="both"/>
        <w:rPr>
          <w:rFonts w:ascii="Arial" w:hAnsi="Arial" w:cs="Arial"/>
          <w:b/>
          <w:bCs/>
          <w:i/>
          <w:iCs/>
          <w:color w:val="2F5496" w:themeColor="accent1" w:themeShade="BF"/>
          <w:sz w:val="20"/>
          <w:szCs w:val="20"/>
        </w:rPr>
      </w:pPr>
      <w:r w:rsidRPr="00186750">
        <w:rPr>
          <w:rFonts w:ascii="Arial" w:hAnsi="Arial" w:cs="Arial"/>
          <w:b/>
          <w:bCs/>
          <w:i/>
          <w:iCs/>
          <w:color w:val="2F5496" w:themeColor="accent1" w:themeShade="BF"/>
          <w:sz w:val="20"/>
          <w:szCs w:val="20"/>
        </w:rPr>
        <w:t>Question 18 : Avez-vous d’autres remarques sur l’encadrement du dispositif ?</w:t>
      </w:r>
    </w:p>
    <w:p w14:paraId="6313939D" w14:textId="7B8C5EF8" w:rsidR="000977C9" w:rsidRPr="006A1344" w:rsidRDefault="006A1344" w:rsidP="001D2D1C">
      <w:pPr>
        <w:jc w:val="both"/>
        <w:rPr>
          <w:rFonts w:ascii="Arial" w:hAnsi="Arial" w:cs="Arial"/>
          <w:sz w:val="20"/>
          <w:szCs w:val="20"/>
        </w:rPr>
      </w:pPr>
      <w:r w:rsidRPr="006A1344">
        <w:rPr>
          <w:rFonts w:ascii="Arial" w:hAnsi="Arial" w:cs="Arial"/>
          <w:sz w:val="20"/>
          <w:szCs w:val="20"/>
        </w:rPr>
        <w:t>Non.</w:t>
      </w:r>
    </w:p>
    <w:p w14:paraId="4DAF32D1" w14:textId="0433E085" w:rsidR="000977C9" w:rsidRPr="000977C9" w:rsidRDefault="000977C9" w:rsidP="000977C9">
      <w:pPr>
        <w:spacing w:after="0"/>
        <w:rPr>
          <w:color w:val="7030A0"/>
        </w:rPr>
      </w:pPr>
    </w:p>
    <w:sectPr w:rsidR="000977C9" w:rsidRPr="000977C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15ED5" w14:textId="77777777" w:rsidR="00CA2F57" w:rsidRDefault="00CA2F57" w:rsidP="00C35AE9">
      <w:pPr>
        <w:spacing w:after="0" w:line="240" w:lineRule="auto"/>
      </w:pPr>
      <w:r>
        <w:separator/>
      </w:r>
    </w:p>
  </w:endnote>
  <w:endnote w:type="continuationSeparator" w:id="0">
    <w:p w14:paraId="78D14010" w14:textId="77777777" w:rsidR="00CA2F57" w:rsidRDefault="00CA2F57" w:rsidP="00C35AE9">
      <w:pPr>
        <w:spacing w:after="0" w:line="240" w:lineRule="auto"/>
      </w:pPr>
      <w:r>
        <w:continuationSeparator/>
      </w:r>
    </w:p>
  </w:endnote>
  <w:endnote w:type="continuationNotice" w:id="1">
    <w:p w14:paraId="4EF3549E" w14:textId="77777777" w:rsidR="00CA2F57" w:rsidRDefault="00CA2F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Roman">
    <w:panose1 w:val="020B0600030504020204"/>
    <w:charset w:val="00"/>
    <w:family w:val="swiss"/>
    <w:pitch w:val="variable"/>
    <w:sig w:usb0="80000027"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1795111"/>
      <w:docPartObj>
        <w:docPartGallery w:val="Page Numbers (Bottom of Page)"/>
        <w:docPartUnique/>
      </w:docPartObj>
    </w:sdtPr>
    <w:sdtEndPr/>
    <w:sdtContent>
      <w:p w14:paraId="28A25FDE" w14:textId="38E8FBE4" w:rsidR="001B7119" w:rsidRDefault="001B7119">
        <w:pPr>
          <w:pStyle w:val="Pieddepage"/>
          <w:jc w:val="center"/>
        </w:pPr>
        <w:r>
          <w:fldChar w:fldCharType="begin"/>
        </w:r>
        <w:r>
          <w:instrText>PAGE   \* MERGEFORMAT</w:instrText>
        </w:r>
        <w:r>
          <w:fldChar w:fldCharType="separate"/>
        </w:r>
        <w:r>
          <w:t>2</w:t>
        </w:r>
        <w:r>
          <w:fldChar w:fldCharType="end"/>
        </w:r>
      </w:p>
    </w:sdtContent>
  </w:sdt>
  <w:p w14:paraId="1D831F36" w14:textId="77777777" w:rsidR="001B7119" w:rsidRDefault="001B711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727CE" w14:textId="77777777" w:rsidR="00CA2F57" w:rsidRDefault="00CA2F57" w:rsidP="00C35AE9">
      <w:pPr>
        <w:spacing w:after="0" w:line="240" w:lineRule="auto"/>
      </w:pPr>
      <w:r>
        <w:separator/>
      </w:r>
    </w:p>
  </w:footnote>
  <w:footnote w:type="continuationSeparator" w:id="0">
    <w:p w14:paraId="36409809" w14:textId="77777777" w:rsidR="00CA2F57" w:rsidRDefault="00CA2F57" w:rsidP="00C35AE9">
      <w:pPr>
        <w:spacing w:after="0" w:line="240" w:lineRule="auto"/>
      </w:pPr>
      <w:r>
        <w:continuationSeparator/>
      </w:r>
    </w:p>
  </w:footnote>
  <w:footnote w:type="continuationNotice" w:id="1">
    <w:p w14:paraId="38D54436" w14:textId="77777777" w:rsidR="00CA2F57" w:rsidRDefault="00CA2F5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62D3"/>
    <w:multiLevelType w:val="hybridMultilevel"/>
    <w:tmpl w:val="DB46A0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047715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4FDD"/>
    <w:rsid w:val="00000CAF"/>
    <w:rsid w:val="0000114C"/>
    <w:rsid w:val="00002EF8"/>
    <w:rsid w:val="00007554"/>
    <w:rsid w:val="00013610"/>
    <w:rsid w:val="00015D22"/>
    <w:rsid w:val="00030684"/>
    <w:rsid w:val="00036D8C"/>
    <w:rsid w:val="000435DA"/>
    <w:rsid w:val="000455CE"/>
    <w:rsid w:val="00050D52"/>
    <w:rsid w:val="00061680"/>
    <w:rsid w:val="000616D0"/>
    <w:rsid w:val="0006458D"/>
    <w:rsid w:val="000666EB"/>
    <w:rsid w:val="00073D94"/>
    <w:rsid w:val="00074DB2"/>
    <w:rsid w:val="000771A0"/>
    <w:rsid w:val="000800F8"/>
    <w:rsid w:val="0008063A"/>
    <w:rsid w:val="00085966"/>
    <w:rsid w:val="000962F9"/>
    <w:rsid w:val="00096892"/>
    <w:rsid w:val="000977C9"/>
    <w:rsid w:val="00097A9F"/>
    <w:rsid w:val="000A0FD1"/>
    <w:rsid w:val="000A2D92"/>
    <w:rsid w:val="000A33CE"/>
    <w:rsid w:val="000A3974"/>
    <w:rsid w:val="000B04E4"/>
    <w:rsid w:val="000B7416"/>
    <w:rsid w:val="000C5316"/>
    <w:rsid w:val="000C5D4A"/>
    <w:rsid w:val="000C6C5F"/>
    <w:rsid w:val="000C7CC4"/>
    <w:rsid w:val="000D4002"/>
    <w:rsid w:val="000D5DD1"/>
    <w:rsid w:val="000E559E"/>
    <w:rsid w:val="000E6350"/>
    <w:rsid w:val="000F4F2A"/>
    <w:rsid w:val="00107587"/>
    <w:rsid w:val="00110E9C"/>
    <w:rsid w:val="0012619B"/>
    <w:rsid w:val="00133160"/>
    <w:rsid w:val="00134D97"/>
    <w:rsid w:val="00141153"/>
    <w:rsid w:val="00157D0A"/>
    <w:rsid w:val="001601AF"/>
    <w:rsid w:val="00160F9D"/>
    <w:rsid w:val="00167317"/>
    <w:rsid w:val="00170516"/>
    <w:rsid w:val="0017238E"/>
    <w:rsid w:val="0018041A"/>
    <w:rsid w:val="0018143E"/>
    <w:rsid w:val="001827F5"/>
    <w:rsid w:val="00186750"/>
    <w:rsid w:val="00193F57"/>
    <w:rsid w:val="001940F5"/>
    <w:rsid w:val="0019796D"/>
    <w:rsid w:val="001A1647"/>
    <w:rsid w:val="001A6D3F"/>
    <w:rsid w:val="001B7119"/>
    <w:rsid w:val="001B7FC7"/>
    <w:rsid w:val="001C04B5"/>
    <w:rsid w:val="001C5822"/>
    <w:rsid w:val="001C69E1"/>
    <w:rsid w:val="001C6CB9"/>
    <w:rsid w:val="001D0B3A"/>
    <w:rsid w:val="001D1DA4"/>
    <w:rsid w:val="001D2D1C"/>
    <w:rsid w:val="001D3304"/>
    <w:rsid w:val="001D3319"/>
    <w:rsid w:val="001D547C"/>
    <w:rsid w:val="001E30C1"/>
    <w:rsid w:val="001E3EC0"/>
    <w:rsid w:val="001E5C19"/>
    <w:rsid w:val="001F1363"/>
    <w:rsid w:val="002007CF"/>
    <w:rsid w:val="00205AB1"/>
    <w:rsid w:val="00211F16"/>
    <w:rsid w:val="00216BD9"/>
    <w:rsid w:val="0021792B"/>
    <w:rsid w:val="00220B71"/>
    <w:rsid w:val="0022114D"/>
    <w:rsid w:val="00221AAD"/>
    <w:rsid w:val="00223E36"/>
    <w:rsid w:val="00223E83"/>
    <w:rsid w:val="002249FD"/>
    <w:rsid w:val="00226A56"/>
    <w:rsid w:val="00231DFA"/>
    <w:rsid w:val="00232A29"/>
    <w:rsid w:val="00234C82"/>
    <w:rsid w:val="002401A9"/>
    <w:rsid w:val="0024315F"/>
    <w:rsid w:val="002472C4"/>
    <w:rsid w:val="0025653B"/>
    <w:rsid w:val="0025797F"/>
    <w:rsid w:val="00262883"/>
    <w:rsid w:val="00271348"/>
    <w:rsid w:val="00271E57"/>
    <w:rsid w:val="00273F5B"/>
    <w:rsid w:val="00275858"/>
    <w:rsid w:val="00277768"/>
    <w:rsid w:val="00280104"/>
    <w:rsid w:val="00280E19"/>
    <w:rsid w:val="0028140A"/>
    <w:rsid w:val="002821E9"/>
    <w:rsid w:val="00290E58"/>
    <w:rsid w:val="0029105F"/>
    <w:rsid w:val="00293E02"/>
    <w:rsid w:val="002A1200"/>
    <w:rsid w:val="002A6674"/>
    <w:rsid w:val="002A6BFF"/>
    <w:rsid w:val="002D1B04"/>
    <w:rsid w:val="002D2B26"/>
    <w:rsid w:val="002D56E8"/>
    <w:rsid w:val="002E045A"/>
    <w:rsid w:val="002E35C9"/>
    <w:rsid w:val="002E577B"/>
    <w:rsid w:val="002F1445"/>
    <w:rsid w:val="00300349"/>
    <w:rsid w:val="00301146"/>
    <w:rsid w:val="00301628"/>
    <w:rsid w:val="00301B40"/>
    <w:rsid w:val="00305555"/>
    <w:rsid w:val="0030726F"/>
    <w:rsid w:val="00311AD8"/>
    <w:rsid w:val="003124BA"/>
    <w:rsid w:val="003134C6"/>
    <w:rsid w:val="00313FFB"/>
    <w:rsid w:val="003203D2"/>
    <w:rsid w:val="003213AD"/>
    <w:rsid w:val="0032321C"/>
    <w:rsid w:val="00323F2C"/>
    <w:rsid w:val="003240A8"/>
    <w:rsid w:val="003267DF"/>
    <w:rsid w:val="003268C0"/>
    <w:rsid w:val="00332B46"/>
    <w:rsid w:val="00337146"/>
    <w:rsid w:val="00344922"/>
    <w:rsid w:val="003600B8"/>
    <w:rsid w:val="00373561"/>
    <w:rsid w:val="00373A8C"/>
    <w:rsid w:val="00377678"/>
    <w:rsid w:val="00377A32"/>
    <w:rsid w:val="003859D3"/>
    <w:rsid w:val="003950FB"/>
    <w:rsid w:val="003A1C95"/>
    <w:rsid w:val="003A4BAE"/>
    <w:rsid w:val="003A7E5F"/>
    <w:rsid w:val="003B075E"/>
    <w:rsid w:val="003B346F"/>
    <w:rsid w:val="003B48E6"/>
    <w:rsid w:val="003B6B2A"/>
    <w:rsid w:val="003C0E69"/>
    <w:rsid w:val="003C10FC"/>
    <w:rsid w:val="003C20CF"/>
    <w:rsid w:val="003D55E3"/>
    <w:rsid w:val="003D5FE9"/>
    <w:rsid w:val="003D75D6"/>
    <w:rsid w:val="003E2617"/>
    <w:rsid w:val="003E4B0C"/>
    <w:rsid w:val="003E5E0B"/>
    <w:rsid w:val="003E7819"/>
    <w:rsid w:val="003F5645"/>
    <w:rsid w:val="003F6512"/>
    <w:rsid w:val="004034B6"/>
    <w:rsid w:val="0040614A"/>
    <w:rsid w:val="004122A5"/>
    <w:rsid w:val="00414E34"/>
    <w:rsid w:val="00420709"/>
    <w:rsid w:val="0042092C"/>
    <w:rsid w:val="00422890"/>
    <w:rsid w:val="00424B19"/>
    <w:rsid w:val="004272F6"/>
    <w:rsid w:val="00427553"/>
    <w:rsid w:val="0042774D"/>
    <w:rsid w:val="0043316D"/>
    <w:rsid w:val="00433D5B"/>
    <w:rsid w:val="00435C18"/>
    <w:rsid w:val="00440542"/>
    <w:rsid w:val="0044236D"/>
    <w:rsid w:val="0045262B"/>
    <w:rsid w:val="00453877"/>
    <w:rsid w:val="00461F96"/>
    <w:rsid w:val="004632DA"/>
    <w:rsid w:val="004662B9"/>
    <w:rsid w:val="00466B81"/>
    <w:rsid w:val="00472066"/>
    <w:rsid w:val="00475941"/>
    <w:rsid w:val="004759A0"/>
    <w:rsid w:val="004810FE"/>
    <w:rsid w:val="00484BF2"/>
    <w:rsid w:val="00485739"/>
    <w:rsid w:val="004906CA"/>
    <w:rsid w:val="00491FEB"/>
    <w:rsid w:val="0049331A"/>
    <w:rsid w:val="004A4CEA"/>
    <w:rsid w:val="004A5AB1"/>
    <w:rsid w:val="004A7669"/>
    <w:rsid w:val="004B20B1"/>
    <w:rsid w:val="004B2863"/>
    <w:rsid w:val="004B349C"/>
    <w:rsid w:val="004D56CC"/>
    <w:rsid w:val="004DF5B1"/>
    <w:rsid w:val="004E4576"/>
    <w:rsid w:val="004F0EF2"/>
    <w:rsid w:val="004F2BEC"/>
    <w:rsid w:val="004F6EBC"/>
    <w:rsid w:val="0050747F"/>
    <w:rsid w:val="005103CB"/>
    <w:rsid w:val="005129CF"/>
    <w:rsid w:val="0051654E"/>
    <w:rsid w:val="00520755"/>
    <w:rsid w:val="0053084E"/>
    <w:rsid w:val="00533CA6"/>
    <w:rsid w:val="00534C81"/>
    <w:rsid w:val="0055450B"/>
    <w:rsid w:val="00562FBE"/>
    <w:rsid w:val="00564786"/>
    <w:rsid w:val="0056692B"/>
    <w:rsid w:val="005671BE"/>
    <w:rsid w:val="00567D52"/>
    <w:rsid w:val="0058279E"/>
    <w:rsid w:val="0058385B"/>
    <w:rsid w:val="005844ED"/>
    <w:rsid w:val="005864BA"/>
    <w:rsid w:val="00594014"/>
    <w:rsid w:val="005A0987"/>
    <w:rsid w:val="005A3B24"/>
    <w:rsid w:val="005A4E16"/>
    <w:rsid w:val="005B28F8"/>
    <w:rsid w:val="005B692B"/>
    <w:rsid w:val="005C1983"/>
    <w:rsid w:val="005C7C7E"/>
    <w:rsid w:val="005D14B3"/>
    <w:rsid w:val="005D3836"/>
    <w:rsid w:val="005D3B23"/>
    <w:rsid w:val="005D4829"/>
    <w:rsid w:val="005D7C89"/>
    <w:rsid w:val="005E2FF2"/>
    <w:rsid w:val="005E36BA"/>
    <w:rsid w:val="005F31A3"/>
    <w:rsid w:val="005F4B39"/>
    <w:rsid w:val="00603D4B"/>
    <w:rsid w:val="00606665"/>
    <w:rsid w:val="00613231"/>
    <w:rsid w:val="00625319"/>
    <w:rsid w:val="006269D0"/>
    <w:rsid w:val="00626D45"/>
    <w:rsid w:val="00626E69"/>
    <w:rsid w:val="00627CFB"/>
    <w:rsid w:val="006309BC"/>
    <w:rsid w:val="00633AB5"/>
    <w:rsid w:val="00651B00"/>
    <w:rsid w:val="00655623"/>
    <w:rsid w:val="00660F52"/>
    <w:rsid w:val="00665D10"/>
    <w:rsid w:val="00667DEB"/>
    <w:rsid w:val="00670F9E"/>
    <w:rsid w:val="00671DC2"/>
    <w:rsid w:val="00675790"/>
    <w:rsid w:val="0067773B"/>
    <w:rsid w:val="00677814"/>
    <w:rsid w:val="00682B9F"/>
    <w:rsid w:val="00683A4A"/>
    <w:rsid w:val="00684BC5"/>
    <w:rsid w:val="00685E79"/>
    <w:rsid w:val="00687306"/>
    <w:rsid w:val="006878DB"/>
    <w:rsid w:val="00690FE1"/>
    <w:rsid w:val="00693DEB"/>
    <w:rsid w:val="0069602F"/>
    <w:rsid w:val="006960B5"/>
    <w:rsid w:val="006A1344"/>
    <w:rsid w:val="006A5254"/>
    <w:rsid w:val="006A640E"/>
    <w:rsid w:val="006B03A7"/>
    <w:rsid w:val="006B1829"/>
    <w:rsid w:val="006B2400"/>
    <w:rsid w:val="006C217E"/>
    <w:rsid w:val="006D010C"/>
    <w:rsid w:val="006D68DF"/>
    <w:rsid w:val="006E6ADF"/>
    <w:rsid w:val="006F1514"/>
    <w:rsid w:val="0070006C"/>
    <w:rsid w:val="0070527A"/>
    <w:rsid w:val="00706336"/>
    <w:rsid w:val="0071112B"/>
    <w:rsid w:val="00712481"/>
    <w:rsid w:val="00713330"/>
    <w:rsid w:val="00722B1B"/>
    <w:rsid w:val="0072746A"/>
    <w:rsid w:val="00731D64"/>
    <w:rsid w:val="00732ED1"/>
    <w:rsid w:val="007377B6"/>
    <w:rsid w:val="0074273C"/>
    <w:rsid w:val="00744E49"/>
    <w:rsid w:val="00746C36"/>
    <w:rsid w:val="00752D90"/>
    <w:rsid w:val="00761494"/>
    <w:rsid w:val="00770643"/>
    <w:rsid w:val="00771BF5"/>
    <w:rsid w:val="0079124C"/>
    <w:rsid w:val="00791F9C"/>
    <w:rsid w:val="00792831"/>
    <w:rsid w:val="007943FB"/>
    <w:rsid w:val="00794C3E"/>
    <w:rsid w:val="007A0154"/>
    <w:rsid w:val="007B1CDB"/>
    <w:rsid w:val="007B3979"/>
    <w:rsid w:val="007B536C"/>
    <w:rsid w:val="007B69C7"/>
    <w:rsid w:val="007C008B"/>
    <w:rsid w:val="007C49CE"/>
    <w:rsid w:val="007C4A7C"/>
    <w:rsid w:val="007C678B"/>
    <w:rsid w:val="007D0D51"/>
    <w:rsid w:val="007D4CDA"/>
    <w:rsid w:val="007E0D15"/>
    <w:rsid w:val="007E6630"/>
    <w:rsid w:val="007E6F4E"/>
    <w:rsid w:val="007F131D"/>
    <w:rsid w:val="007F5DC1"/>
    <w:rsid w:val="00802F93"/>
    <w:rsid w:val="008065E0"/>
    <w:rsid w:val="0080730E"/>
    <w:rsid w:val="00807617"/>
    <w:rsid w:val="00812493"/>
    <w:rsid w:val="008129BC"/>
    <w:rsid w:val="00814EBB"/>
    <w:rsid w:val="0081689C"/>
    <w:rsid w:val="00824516"/>
    <w:rsid w:val="008253AE"/>
    <w:rsid w:val="00831116"/>
    <w:rsid w:val="00831A78"/>
    <w:rsid w:val="008356EF"/>
    <w:rsid w:val="00836C88"/>
    <w:rsid w:val="00837F90"/>
    <w:rsid w:val="00840CBB"/>
    <w:rsid w:val="00863789"/>
    <w:rsid w:val="00865A64"/>
    <w:rsid w:val="008673DB"/>
    <w:rsid w:val="0087267F"/>
    <w:rsid w:val="0087376A"/>
    <w:rsid w:val="008773C2"/>
    <w:rsid w:val="00881367"/>
    <w:rsid w:val="00881BA1"/>
    <w:rsid w:val="00884832"/>
    <w:rsid w:val="00885952"/>
    <w:rsid w:val="00887EA7"/>
    <w:rsid w:val="008902D9"/>
    <w:rsid w:val="0089042C"/>
    <w:rsid w:val="0089141E"/>
    <w:rsid w:val="008919D0"/>
    <w:rsid w:val="00894F2C"/>
    <w:rsid w:val="00896106"/>
    <w:rsid w:val="008A53D4"/>
    <w:rsid w:val="008A5C0B"/>
    <w:rsid w:val="008A76B1"/>
    <w:rsid w:val="008B1493"/>
    <w:rsid w:val="008B2142"/>
    <w:rsid w:val="008C29D2"/>
    <w:rsid w:val="008C5C95"/>
    <w:rsid w:val="008C66F8"/>
    <w:rsid w:val="008C70CB"/>
    <w:rsid w:val="008C729D"/>
    <w:rsid w:val="008D1C09"/>
    <w:rsid w:val="008D3CCD"/>
    <w:rsid w:val="008D7A2A"/>
    <w:rsid w:val="008E13C9"/>
    <w:rsid w:val="008E1626"/>
    <w:rsid w:val="008E49CA"/>
    <w:rsid w:val="008E746A"/>
    <w:rsid w:val="008F1629"/>
    <w:rsid w:val="008F6FCE"/>
    <w:rsid w:val="00900ED0"/>
    <w:rsid w:val="00903ED5"/>
    <w:rsid w:val="00914932"/>
    <w:rsid w:val="00914BDC"/>
    <w:rsid w:val="009164A2"/>
    <w:rsid w:val="00917CC6"/>
    <w:rsid w:val="00917F2E"/>
    <w:rsid w:val="009218A8"/>
    <w:rsid w:val="00923B70"/>
    <w:rsid w:val="00931B77"/>
    <w:rsid w:val="009456DA"/>
    <w:rsid w:val="009458EF"/>
    <w:rsid w:val="00947980"/>
    <w:rsid w:val="00950DD6"/>
    <w:rsid w:val="00954871"/>
    <w:rsid w:val="00956C74"/>
    <w:rsid w:val="009616AA"/>
    <w:rsid w:val="009667B8"/>
    <w:rsid w:val="00971E5A"/>
    <w:rsid w:val="009838F8"/>
    <w:rsid w:val="00984D53"/>
    <w:rsid w:val="009869C2"/>
    <w:rsid w:val="00995384"/>
    <w:rsid w:val="009A598C"/>
    <w:rsid w:val="009B7EC1"/>
    <w:rsid w:val="009C18D8"/>
    <w:rsid w:val="009C46FF"/>
    <w:rsid w:val="009D2884"/>
    <w:rsid w:val="009F1F99"/>
    <w:rsid w:val="009F2CDC"/>
    <w:rsid w:val="009F389F"/>
    <w:rsid w:val="009F4698"/>
    <w:rsid w:val="00A01D99"/>
    <w:rsid w:val="00A02A2A"/>
    <w:rsid w:val="00A06000"/>
    <w:rsid w:val="00A15814"/>
    <w:rsid w:val="00A16FCA"/>
    <w:rsid w:val="00A23C21"/>
    <w:rsid w:val="00A30FCB"/>
    <w:rsid w:val="00A311CF"/>
    <w:rsid w:val="00A3162B"/>
    <w:rsid w:val="00A31D15"/>
    <w:rsid w:val="00A34E53"/>
    <w:rsid w:val="00A368BF"/>
    <w:rsid w:val="00A5247B"/>
    <w:rsid w:val="00A6285A"/>
    <w:rsid w:val="00A65227"/>
    <w:rsid w:val="00A67ED7"/>
    <w:rsid w:val="00A70D5C"/>
    <w:rsid w:val="00A71071"/>
    <w:rsid w:val="00A72909"/>
    <w:rsid w:val="00A750C6"/>
    <w:rsid w:val="00A77EA4"/>
    <w:rsid w:val="00A80277"/>
    <w:rsid w:val="00A85575"/>
    <w:rsid w:val="00AA2A91"/>
    <w:rsid w:val="00AA4586"/>
    <w:rsid w:val="00AB169A"/>
    <w:rsid w:val="00AB1807"/>
    <w:rsid w:val="00AB5174"/>
    <w:rsid w:val="00AD0A12"/>
    <w:rsid w:val="00AD0AEC"/>
    <w:rsid w:val="00AD0F80"/>
    <w:rsid w:val="00AD4035"/>
    <w:rsid w:val="00AE085A"/>
    <w:rsid w:val="00AE0ADB"/>
    <w:rsid w:val="00AE3EC9"/>
    <w:rsid w:val="00AE4AAC"/>
    <w:rsid w:val="00AF67AE"/>
    <w:rsid w:val="00B02854"/>
    <w:rsid w:val="00B1735E"/>
    <w:rsid w:val="00B2188F"/>
    <w:rsid w:val="00B25C98"/>
    <w:rsid w:val="00B320B6"/>
    <w:rsid w:val="00B44DB3"/>
    <w:rsid w:val="00B4529B"/>
    <w:rsid w:val="00B47ABB"/>
    <w:rsid w:val="00B542E3"/>
    <w:rsid w:val="00B57AB5"/>
    <w:rsid w:val="00B64A8F"/>
    <w:rsid w:val="00B67CA0"/>
    <w:rsid w:val="00B70618"/>
    <w:rsid w:val="00B7065C"/>
    <w:rsid w:val="00B724F8"/>
    <w:rsid w:val="00B7292C"/>
    <w:rsid w:val="00B7458D"/>
    <w:rsid w:val="00B75485"/>
    <w:rsid w:val="00B8718F"/>
    <w:rsid w:val="00B94C4D"/>
    <w:rsid w:val="00B95A4D"/>
    <w:rsid w:val="00B97E13"/>
    <w:rsid w:val="00BA148B"/>
    <w:rsid w:val="00BA6C44"/>
    <w:rsid w:val="00BB0AB2"/>
    <w:rsid w:val="00BB0EA2"/>
    <w:rsid w:val="00BB0F97"/>
    <w:rsid w:val="00BB4B86"/>
    <w:rsid w:val="00BB62C3"/>
    <w:rsid w:val="00BB7554"/>
    <w:rsid w:val="00BC1D9D"/>
    <w:rsid w:val="00BC70C1"/>
    <w:rsid w:val="00BD2431"/>
    <w:rsid w:val="00BD5BB2"/>
    <w:rsid w:val="00BD7D25"/>
    <w:rsid w:val="00BE638F"/>
    <w:rsid w:val="00BE6D14"/>
    <w:rsid w:val="00BF1797"/>
    <w:rsid w:val="00BF4CD0"/>
    <w:rsid w:val="00C006E3"/>
    <w:rsid w:val="00C008E6"/>
    <w:rsid w:val="00C049E4"/>
    <w:rsid w:val="00C04B4E"/>
    <w:rsid w:val="00C05C6B"/>
    <w:rsid w:val="00C05F33"/>
    <w:rsid w:val="00C10FEE"/>
    <w:rsid w:val="00C17A4C"/>
    <w:rsid w:val="00C229A8"/>
    <w:rsid w:val="00C24FBA"/>
    <w:rsid w:val="00C30939"/>
    <w:rsid w:val="00C3331F"/>
    <w:rsid w:val="00C35AE9"/>
    <w:rsid w:val="00C377A6"/>
    <w:rsid w:val="00C55D16"/>
    <w:rsid w:val="00C617F6"/>
    <w:rsid w:val="00C665D2"/>
    <w:rsid w:val="00C67DCA"/>
    <w:rsid w:val="00C71267"/>
    <w:rsid w:val="00C71371"/>
    <w:rsid w:val="00C74CD8"/>
    <w:rsid w:val="00C81944"/>
    <w:rsid w:val="00C82411"/>
    <w:rsid w:val="00C8503E"/>
    <w:rsid w:val="00C860F8"/>
    <w:rsid w:val="00C874DE"/>
    <w:rsid w:val="00C94E6F"/>
    <w:rsid w:val="00C96993"/>
    <w:rsid w:val="00CA2F57"/>
    <w:rsid w:val="00CA51FE"/>
    <w:rsid w:val="00CA6809"/>
    <w:rsid w:val="00CB0559"/>
    <w:rsid w:val="00CB4B0A"/>
    <w:rsid w:val="00CB5E1B"/>
    <w:rsid w:val="00CB647B"/>
    <w:rsid w:val="00CC3D37"/>
    <w:rsid w:val="00CC46E3"/>
    <w:rsid w:val="00CC4FDD"/>
    <w:rsid w:val="00CC6DE0"/>
    <w:rsid w:val="00CD36F6"/>
    <w:rsid w:val="00CD58E0"/>
    <w:rsid w:val="00CD7B6F"/>
    <w:rsid w:val="00CF104E"/>
    <w:rsid w:val="00CF1822"/>
    <w:rsid w:val="00D02DF8"/>
    <w:rsid w:val="00D03B65"/>
    <w:rsid w:val="00D04A3B"/>
    <w:rsid w:val="00D07281"/>
    <w:rsid w:val="00D12076"/>
    <w:rsid w:val="00D21DE5"/>
    <w:rsid w:val="00D23DCE"/>
    <w:rsid w:val="00D307CD"/>
    <w:rsid w:val="00D33825"/>
    <w:rsid w:val="00D4401B"/>
    <w:rsid w:val="00D5059D"/>
    <w:rsid w:val="00D511C4"/>
    <w:rsid w:val="00D608B4"/>
    <w:rsid w:val="00D66E3F"/>
    <w:rsid w:val="00D71990"/>
    <w:rsid w:val="00D71B2F"/>
    <w:rsid w:val="00D73988"/>
    <w:rsid w:val="00D7684E"/>
    <w:rsid w:val="00D76986"/>
    <w:rsid w:val="00D83266"/>
    <w:rsid w:val="00D83D07"/>
    <w:rsid w:val="00D85A9B"/>
    <w:rsid w:val="00D85ADD"/>
    <w:rsid w:val="00D93030"/>
    <w:rsid w:val="00D96723"/>
    <w:rsid w:val="00DA3711"/>
    <w:rsid w:val="00DA3729"/>
    <w:rsid w:val="00DA37F1"/>
    <w:rsid w:val="00DA3CC7"/>
    <w:rsid w:val="00DA435E"/>
    <w:rsid w:val="00DB08C0"/>
    <w:rsid w:val="00DB3E89"/>
    <w:rsid w:val="00DB5381"/>
    <w:rsid w:val="00DB6B4F"/>
    <w:rsid w:val="00DBA2EF"/>
    <w:rsid w:val="00DC227A"/>
    <w:rsid w:val="00DC4760"/>
    <w:rsid w:val="00DD4F4E"/>
    <w:rsid w:val="00DE1A6C"/>
    <w:rsid w:val="00DE1FEC"/>
    <w:rsid w:val="00DF615A"/>
    <w:rsid w:val="00DF7AC0"/>
    <w:rsid w:val="00E01FA7"/>
    <w:rsid w:val="00E048EA"/>
    <w:rsid w:val="00E1264B"/>
    <w:rsid w:val="00E14EF2"/>
    <w:rsid w:val="00E21D9D"/>
    <w:rsid w:val="00E26708"/>
    <w:rsid w:val="00E31201"/>
    <w:rsid w:val="00E32962"/>
    <w:rsid w:val="00E37B98"/>
    <w:rsid w:val="00E427AB"/>
    <w:rsid w:val="00E44C54"/>
    <w:rsid w:val="00E5298A"/>
    <w:rsid w:val="00E53FD7"/>
    <w:rsid w:val="00E66A85"/>
    <w:rsid w:val="00E700D5"/>
    <w:rsid w:val="00E70735"/>
    <w:rsid w:val="00E72D37"/>
    <w:rsid w:val="00E81798"/>
    <w:rsid w:val="00E854E1"/>
    <w:rsid w:val="00E924BC"/>
    <w:rsid w:val="00EA288F"/>
    <w:rsid w:val="00EA4B68"/>
    <w:rsid w:val="00EA7308"/>
    <w:rsid w:val="00EB06BE"/>
    <w:rsid w:val="00EB204A"/>
    <w:rsid w:val="00EC7ED7"/>
    <w:rsid w:val="00ED3884"/>
    <w:rsid w:val="00ED4BCF"/>
    <w:rsid w:val="00ED622F"/>
    <w:rsid w:val="00EF2433"/>
    <w:rsid w:val="00EF310F"/>
    <w:rsid w:val="00EF44B5"/>
    <w:rsid w:val="00EF7B5B"/>
    <w:rsid w:val="00F00163"/>
    <w:rsid w:val="00F044A7"/>
    <w:rsid w:val="00F07781"/>
    <w:rsid w:val="00F1241C"/>
    <w:rsid w:val="00F1319A"/>
    <w:rsid w:val="00F16BDD"/>
    <w:rsid w:val="00F17412"/>
    <w:rsid w:val="00F21E6D"/>
    <w:rsid w:val="00F227DC"/>
    <w:rsid w:val="00F326E6"/>
    <w:rsid w:val="00F32BFB"/>
    <w:rsid w:val="00F34735"/>
    <w:rsid w:val="00F4617B"/>
    <w:rsid w:val="00F55C77"/>
    <w:rsid w:val="00F6478F"/>
    <w:rsid w:val="00F64C7C"/>
    <w:rsid w:val="00F670DC"/>
    <w:rsid w:val="00F67758"/>
    <w:rsid w:val="00F73909"/>
    <w:rsid w:val="00F73B6F"/>
    <w:rsid w:val="00F75913"/>
    <w:rsid w:val="00F7745B"/>
    <w:rsid w:val="00F84131"/>
    <w:rsid w:val="00F84C74"/>
    <w:rsid w:val="00F8736E"/>
    <w:rsid w:val="00F93730"/>
    <w:rsid w:val="00F96EB9"/>
    <w:rsid w:val="00FA2BCB"/>
    <w:rsid w:val="00FB0F85"/>
    <w:rsid w:val="00FB1167"/>
    <w:rsid w:val="00FB558E"/>
    <w:rsid w:val="00FB63CC"/>
    <w:rsid w:val="00FC13A2"/>
    <w:rsid w:val="00FC3FC1"/>
    <w:rsid w:val="00FD2D7F"/>
    <w:rsid w:val="00FD3E93"/>
    <w:rsid w:val="00FD4A8C"/>
    <w:rsid w:val="00FD5341"/>
    <w:rsid w:val="00FD6ABC"/>
    <w:rsid w:val="00FD70AA"/>
    <w:rsid w:val="00FD7F11"/>
    <w:rsid w:val="00FE16FA"/>
    <w:rsid w:val="00FE294C"/>
    <w:rsid w:val="00FE41C1"/>
    <w:rsid w:val="00FF1954"/>
    <w:rsid w:val="010ED79A"/>
    <w:rsid w:val="0273031D"/>
    <w:rsid w:val="0293ABA8"/>
    <w:rsid w:val="0299087D"/>
    <w:rsid w:val="03E41506"/>
    <w:rsid w:val="045E01CC"/>
    <w:rsid w:val="04646616"/>
    <w:rsid w:val="049F2730"/>
    <w:rsid w:val="04B55B9F"/>
    <w:rsid w:val="04C13CB3"/>
    <w:rsid w:val="04D569BF"/>
    <w:rsid w:val="057BA3DC"/>
    <w:rsid w:val="059E3D07"/>
    <w:rsid w:val="0615F0DF"/>
    <w:rsid w:val="06AD1745"/>
    <w:rsid w:val="07B345EF"/>
    <w:rsid w:val="07CD247C"/>
    <w:rsid w:val="080E40BE"/>
    <w:rsid w:val="08248BB4"/>
    <w:rsid w:val="090FF5C3"/>
    <w:rsid w:val="0921E9F3"/>
    <w:rsid w:val="097516CA"/>
    <w:rsid w:val="09B1D57F"/>
    <w:rsid w:val="09CE1AAE"/>
    <w:rsid w:val="0B609792"/>
    <w:rsid w:val="0B6B14EA"/>
    <w:rsid w:val="0BEFDD8B"/>
    <w:rsid w:val="0C1DEC2F"/>
    <w:rsid w:val="0DCFC1A4"/>
    <w:rsid w:val="0ED3C254"/>
    <w:rsid w:val="10E8DD34"/>
    <w:rsid w:val="111A7C98"/>
    <w:rsid w:val="112939E9"/>
    <w:rsid w:val="12045297"/>
    <w:rsid w:val="12A8C172"/>
    <w:rsid w:val="1315ABF2"/>
    <w:rsid w:val="135D24DC"/>
    <w:rsid w:val="13B1DB59"/>
    <w:rsid w:val="1422B371"/>
    <w:rsid w:val="145DBA30"/>
    <w:rsid w:val="14D60968"/>
    <w:rsid w:val="153EB2D9"/>
    <w:rsid w:val="15A11814"/>
    <w:rsid w:val="15AA22A4"/>
    <w:rsid w:val="16A202D0"/>
    <w:rsid w:val="17A78128"/>
    <w:rsid w:val="1817A6B8"/>
    <w:rsid w:val="185614C3"/>
    <w:rsid w:val="18A6FF68"/>
    <w:rsid w:val="1985203C"/>
    <w:rsid w:val="1C661120"/>
    <w:rsid w:val="1CB90B1A"/>
    <w:rsid w:val="1D098470"/>
    <w:rsid w:val="1DAB7A0B"/>
    <w:rsid w:val="1E69456F"/>
    <w:rsid w:val="1E9FAED3"/>
    <w:rsid w:val="1EE4E5E2"/>
    <w:rsid w:val="1EEDCE7E"/>
    <w:rsid w:val="1F2195E6"/>
    <w:rsid w:val="1F59AEA3"/>
    <w:rsid w:val="1F5C173B"/>
    <w:rsid w:val="200ED4A1"/>
    <w:rsid w:val="201BA6C8"/>
    <w:rsid w:val="20A13857"/>
    <w:rsid w:val="2101E324"/>
    <w:rsid w:val="211EA1FB"/>
    <w:rsid w:val="214DD2B7"/>
    <w:rsid w:val="214DF601"/>
    <w:rsid w:val="21AE6309"/>
    <w:rsid w:val="21BC0839"/>
    <w:rsid w:val="228F5863"/>
    <w:rsid w:val="22E0895D"/>
    <w:rsid w:val="238B6CC5"/>
    <w:rsid w:val="246E9CA3"/>
    <w:rsid w:val="24DD5FB5"/>
    <w:rsid w:val="2566CD33"/>
    <w:rsid w:val="2657992A"/>
    <w:rsid w:val="277C4F7A"/>
    <w:rsid w:val="28324ABF"/>
    <w:rsid w:val="288C0A23"/>
    <w:rsid w:val="28F6CA26"/>
    <w:rsid w:val="2931C64E"/>
    <w:rsid w:val="29F25661"/>
    <w:rsid w:val="2AB3AF6F"/>
    <w:rsid w:val="2B07CAD3"/>
    <w:rsid w:val="2B1E7727"/>
    <w:rsid w:val="2B29A43E"/>
    <w:rsid w:val="2BCE9F2D"/>
    <w:rsid w:val="2BE8963B"/>
    <w:rsid w:val="2C966CF5"/>
    <w:rsid w:val="2D0BD3E2"/>
    <w:rsid w:val="2D273E80"/>
    <w:rsid w:val="2D7C287C"/>
    <w:rsid w:val="2DA6ABDE"/>
    <w:rsid w:val="2DD5DD0B"/>
    <w:rsid w:val="2E27F00C"/>
    <w:rsid w:val="2E5B477E"/>
    <w:rsid w:val="2ECED7EE"/>
    <w:rsid w:val="2EDF79A0"/>
    <w:rsid w:val="2EEE239E"/>
    <w:rsid w:val="2F0017CD"/>
    <w:rsid w:val="2F1A180C"/>
    <w:rsid w:val="2F26E38C"/>
    <w:rsid w:val="2FAB4E02"/>
    <w:rsid w:val="2FB72FA8"/>
    <w:rsid w:val="30001B6D"/>
    <w:rsid w:val="301CA3C1"/>
    <w:rsid w:val="302FDB71"/>
    <w:rsid w:val="303537F5"/>
    <w:rsid w:val="3038311A"/>
    <w:rsid w:val="3053EEFD"/>
    <w:rsid w:val="30955F6A"/>
    <w:rsid w:val="30B5E86D"/>
    <w:rsid w:val="3161B7D8"/>
    <w:rsid w:val="31D43CFC"/>
    <w:rsid w:val="3234E91E"/>
    <w:rsid w:val="341F6F8E"/>
    <w:rsid w:val="3460C73B"/>
    <w:rsid w:val="346849A4"/>
    <w:rsid w:val="34966C2E"/>
    <w:rsid w:val="35F29062"/>
    <w:rsid w:val="36224D23"/>
    <w:rsid w:val="3716A7B0"/>
    <w:rsid w:val="3750E162"/>
    <w:rsid w:val="3877D0DF"/>
    <w:rsid w:val="39F61EA4"/>
    <w:rsid w:val="3A008AE7"/>
    <w:rsid w:val="3A169EAE"/>
    <w:rsid w:val="3A5DA044"/>
    <w:rsid w:val="3ADA1769"/>
    <w:rsid w:val="3ADDE760"/>
    <w:rsid w:val="3BDFF56D"/>
    <w:rsid w:val="3C3CB425"/>
    <w:rsid w:val="3C713C3A"/>
    <w:rsid w:val="3C963221"/>
    <w:rsid w:val="3D327205"/>
    <w:rsid w:val="3D80AF31"/>
    <w:rsid w:val="3D99EF2F"/>
    <w:rsid w:val="3DD3DF01"/>
    <w:rsid w:val="3E11868D"/>
    <w:rsid w:val="3E3891AC"/>
    <w:rsid w:val="3E94A3D4"/>
    <w:rsid w:val="3F0D10E0"/>
    <w:rsid w:val="40073C0A"/>
    <w:rsid w:val="40649483"/>
    <w:rsid w:val="40CCE1C8"/>
    <w:rsid w:val="41665A59"/>
    <w:rsid w:val="417D0427"/>
    <w:rsid w:val="4313B17F"/>
    <w:rsid w:val="4375D3C1"/>
    <w:rsid w:val="43CDB4EC"/>
    <w:rsid w:val="4404828A"/>
    <w:rsid w:val="447A4039"/>
    <w:rsid w:val="447BA1FA"/>
    <w:rsid w:val="45777806"/>
    <w:rsid w:val="463B23C5"/>
    <w:rsid w:val="46BAF39C"/>
    <w:rsid w:val="470555AE"/>
    <w:rsid w:val="47C310E7"/>
    <w:rsid w:val="47C83EC8"/>
    <w:rsid w:val="4826BFC6"/>
    <w:rsid w:val="482B2C76"/>
    <w:rsid w:val="488C897F"/>
    <w:rsid w:val="489FD5E9"/>
    <w:rsid w:val="4A683F6B"/>
    <w:rsid w:val="4ABE514E"/>
    <w:rsid w:val="4ACDF88E"/>
    <w:rsid w:val="4ADC2F71"/>
    <w:rsid w:val="4B2D3F24"/>
    <w:rsid w:val="4BA4970C"/>
    <w:rsid w:val="4BF960C0"/>
    <w:rsid w:val="4C08E0FC"/>
    <w:rsid w:val="4C335FB1"/>
    <w:rsid w:val="4CA7E17D"/>
    <w:rsid w:val="4CAD4C46"/>
    <w:rsid w:val="4D388E6A"/>
    <w:rsid w:val="4D86B7D0"/>
    <w:rsid w:val="4EB20D9E"/>
    <w:rsid w:val="4EE0840E"/>
    <w:rsid w:val="4F1AD12F"/>
    <w:rsid w:val="4F9BA18A"/>
    <w:rsid w:val="4FD78D4A"/>
    <w:rsid w:val="509C2F93"/>
    <w:rsid w:val="50F02619"/>
    <w:rsid w:val="516E98F0"/>
    <w:rsid w:val="51D106CC"/>
    <w:rsid w:val="52020BB1"/>
    <w:rsid w:val="52A146D1"/>
    <w:rsid w:val="52BD9A33"/>
    <w:rsid w:val="533B4435"/>
    <w:rsid w:val="537D61B0"/>
    <w:rsid w:val="542DA19A"/>
    <w:rsid w:val="54CBBBB2"/>
    <w:rsid w:val="54D3E9C9"/>
    <w:rsid w:val="5570D173"/>
    <w:rsid w:val="558D5CFD"/>
    <w:rsid w:val="5678D8F3"/>
    <w:rsid w:val="567CDBA8"/>
    <w:rsid w:val="571A61DE"/>
    <w:rsid w:val="57CA12AB"/>
    <w:rsid w:val="57CFF24B"/>
    <w:rsid w:val="57E39A69"/>
    <w:rsid w:val="595BC2D3"/>
    <w:rsid w:val="5A35B293"/>
    <w:rsid w:val="5A81FB4D"/>
    <w:rsid w:val="5AA41894"/>
    <w:rsid w:val="5AA8FE83"/>
    <w:rsid w:val="5B65E42F"/>
    <w:rsid w:val="5B8DBAF5"/>
    <w:rsid w:val="5CF4CE2C"/>
    <w:rsid w:val="5D0817BD"/>
    <w:rsid w:val="5D3CDDA2"/>
    <w:rsid w:val="5D5BDDD9"/>
    <w:rsid w:val="5E23AAA0"/>
    <w:rsid w:val="5F932947"/>
    <w:rsid w:val="5FC3E9B9"/>
    <w:rsid w:val="5FD52490"/>
    <w:rsid w:val="5FE81F74"/>
    <w:rsid w:val="6232AAA5"/>
    <w:rsid w:val="62C7DF2C"/>
    <w:rsid w:val="632238AE"/>
    <w:rsid w:val="64517B1A"/>
    <w:rsid w:val="64D4B359"/>
    <w:rsid w:val="6565DB02"/>
    <w:rsid w:val="65A638DC"/>
    <w:rsid w:val="66142BD8"/>
    <w:rsid w:val="66666A55"/>
    <w:rsid w:val="66898FD4"/>
    <w:rsid w:val="67457CB9"/>
    <w:rsid w:val="678FB17E"/>
    <w:rsid w:val="68003996"/>
    <w:rsid w:val="6814255E"/>
    <w:rsid w:val="682D390B"/>
    <w:rsid w:val="68BF6B45"/>
    <w:rsid w:val="69223A1F"/>
    <w:rsid w:val="699614FA"/>
    <w:rsid w:val="69C13096"/>
    <w:rsid w:val="6A079BCD"/>
    <w:rsid w:val="6A50B67F"/>
    <w:rsid w:val="6ACDB2FF"/>
    <w:rsid w:val="6B55F938"/>
    <w:rsid w:val="6B96DB55"/>
    <w:rsid w:val="6C281838"/>
    <w:rsid w:val="6D48212F"/>
    <w:rsid w:val="6E654E72"/>
    <w:rsid w:val="6EDD7623"/>
    <w:rsid w:val="6FF335E0"/>
    <w:rsid w:val="702BEDF8"/>
    <w:rsid w:val="7168FB6B"/>
    <w:rsid w:val="7175DDE4"/>
    <w:rsid w:val="7269060B"/>
    <w:rsid w:val="730F63EF"/>
    <w:rsid w:val="7311AE45"/>
    <w:rsid w:val="746AC584"/>
    <w:rsid w:val="7484F617"/>
    <w:rsid w:val="750DABBF"/>
    <w:rsid w:val="7512F32B"/>
    <w:rsid w:val="75696A36"/>
    <w:rsid w:val="75E37B46"/>
    <w:rsid w:val="764F2EA7"/>
    <w:rsid w:val="770ADE3C"/>
    <w:rsid w:val="7720CC01"/>
    <w:rsid w:val="7822F31A"/>
    <w:rsid w:val="782A4928"/>
    <w:rsid w:val="7844EC43"/>
    <w:rsid w:val="7871F832"/>
    <w:rsid w:val="79B384F4"/>
    <w:rsid w:val="7A1B32DA"/>
    <w:rsid w:val="7A65528A"/>
    <w:rsid w:val="7B24ADB0"/>
    <w:rsid w:val="7B8D5BC0"/>
    <w:rsid w:val="7BDCA337"/>
    <w:rsid w:val="7BFEDC9E"/>
    <w:rsid w:val="7C181670"/>
    <w:rsid w:val="7DAC537E"/>
    <w:rsid w:val="7DFBB056"/>
    <w:rsid w:val="7E3E058F"/>
    <w:rsid w:val="7F38C3AD"/>
    <w:rsid w:val="7F543E03"/>
    <w:rsid w:val="7F82445E"/>
    <w:rsid w:val="7FFAF46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0ECBE"/>
  <w15:chartTrackingRefBased/>
  <w15:docId w15:val="{F931B9FF-5191-4085-B3AC-5F8ABBF3C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D90"/>
    <w:pPr>
      <w:tabs>
        <w:tab w:val="center" w:pos="4536"/>
        <w:tab w:val="right" w:pos="9072"/>
      </w:tabs>
      <w:spacing w:after="0" w:line="240" w:lineRule="auto"/>
    </w:pPr>
  </w:style>
  <w:style w:type="character" w:customStyle="1" w:styleId="En-tteCar">
    <w:name w:val="En-tête Car"/>
    <w:basedOn w:val="Policepardfaut"/>
    <w:link w:val="En-tte"/>
    <w:uiPriority w:val="99"/>
    <w:rsid w:val="00752D90"/>
  </w:style>
  <w:style w:type="paragraph" w:styleId="Pieddepage">
    <w:name w:val="footer"/>
    <w:basedOn w:val="Normal"/>
    <w:link w:val="PieddepageCar"/>
    <w:uiPriority w:val="99"/>
    <w:unhideWhenUsed/>
    <w:rsid w:val="00752D9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D90"/>
  </w:style>
  <w:style w:type="paragraph" w:styleId="Rvision">
    <w:name w:val="Revision"/>
    <w:hidden/>
    <w:uiPriority w:val="99"/>
    <w:semiHidden/>
    <w:rsid w:val="00520755"/>
    <w:pPr>
      <w:spacing w:after="0" w:line="240" w:lineRule="auto"/>
    </w:pPr>
  </w:style>
  <w:style w:type="paragraph" w:styleId="Paragraphedeliste">
    <w:name w:val="List Paragraph"/>
    <w:basedOn w:val="Normal"/>
    <w:uiPriority w:val="34"/>
    <w:qFormat/>
    <w:rsid w:val="00E72D37"/>
    <w:pPr>
      <w:ind w:left="720"/>
      <w:contextualSpacing/>
    </w:pPr>
  </w:style>
  <w:style w:type="paragraph" w:styleId="Commentaire">
    <w:name w:val="annotation text"/>
    <w:basedOn w:val="Normal"/>
    <w:link w:val="CommentaireCar"/>
    <w:uiPriority w:val="99"/>
    <w:unhideWhenUsed/>
    <w:rsid w:val="007B69C7"/>
    <w:pPr>
      <w:spacing w:line="240" w:lineRule="auto"/>
    </w:pPr>
    <w:rPr>
      <w:sz w:val="20"/>
      <w:szCs w:val="20"/>
    </w:rPr>
  </w:style>
  <w:style w:type="character" w:customStyle="1" w:styleId="CommentaireCar">
    <w:name w:val="Commentaire Car"/>
    <w:basedOn w:val="Policepardfaut"/>
    <w:link w:val="Commentaire"/>
    <w:uiPriority w:val="99"/>
    <w:rsid w:val="007B69C7"/>
    <w:rPr>
      <w:sz w:val="20"/>
      <w:szCs w:val="20"/>
    </w:rPr>
  </w:style>
  <w:style w:type="character" w:styleId="Marquedecommentaire">
    <w:name w:val="annotation reference"/>
    <w:basedOn w:val="Policepardfaut"/>
    <w:uiPriority w:val="99"/>
    <w:semiHidden/>
    <w:unhideWhenUsed/>
    <w:rsid w:val="007B69C7"/>
    <w:rPr>
      <w:sz w:val="16"/>
      <w:szCs w:val="16"/>
    </w:rPr>
  </w:style>
  <w:style w:type="paragraph" w:styleId="Objetducommentaire">
    <w:name w:val="annotation subject"/>
    <w:basedOn w:val="Commentaire"/>
    <w:next w:val="Commentaire"/>
    <w:link w:val="ObjetducommentaireCar"/>
    <w:uiPriority w:val="99"/>
    <w:semiHidden/>
    <w:unhideWhenUsed/>
    <w:rsid w:val="001C69E1"/>
    <w:rPr>
      <w:b/>
      <w:bCs/>
    </w:rPr>
  </w:style>
  <w:style w:type="character" w:customStyle="1" w:styleId="ObjetducommentaireCar">
    <w:name w:val="Objet du commentaire Car"/>
    <w:basedOn w:val="CommentaireCar"/>
    <w:link w:val="Objetducommentaire"/>
    <w:uiPriority w:val="99"/>
    <w:semiHidden/>
    <w:rsid w:val="001C69E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6</Pages>
  <Words>3054</Words>
  <Characters>16800</Characters>
  <Application>Microsoft Office Word</Application>
  <DocSecurity>4</DocSecurity>
  <Lines>140</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LAGUERRE Bernard</dc:creator>
  <cp:keywords/>
  <dc:description/>
  <cp:lastModifiedBy>LAGUERRE Bernard</cp:lastModifiedBy>
  <cp:revision>2</cp:revision>
  <dcterms:created xsi:type="dcterms:W3CDTF">2024-05-24T21:15:00Z</dcterms:created>
  <dcterms:modified xsi:type="dcterms:W3CDTF">2024-05-24T21:15:00Z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2024-04-25T16:03:37Z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75c50b5f-65e4-424a-b531-20e950fea664</vt:lpwstr>
  </property>
  <property fmtid="{D5CDD505-2E9C-101B-9397-08002B2CF9AE}" pid="8" name="MSIP_Label_2d26f538-337a-4593-a7e6-123667b1a538_ContentBits">
    <vt:lpwstr>0</vt:lpwstr>
  </property>
</Properties>
</file>