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4A07E" w14:textId="7680EB15" w:rsidR="00CC4FDD" w:rsidRDefault="00CC4FDD" w:rsidP="0E9E275B">
      <w:pPr>
        <w:jc w:val="both"/>
        <w:rPr>
          <w:rFonts w:ascii="Frutiger Roman" w:hAnsi="Frutiger Roman"/>
          <w:color w:val="0000FF"/>
          <w:sz w:val="20"/>
          <w:szCs w:val="20"/>
        </w:rPr>
      </w:pPr>
      <w:r w:rsidRPr="00CC4FDD">
        <w:rPr>
          <w:rFonts w:ascii="Frutiger Roman" w:hAnsi="Frutiger Roman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AC779D1" wp14:editId="6DAC0698">
            <wp:simplePos x="0" y="0"/>
            <wp:positionH relativeFrom="margin">
              <wp:align>right</wp:align>
            </wp:positionH>
            <wp:positionV relativeFrom="paragraph">
              <wp:posOffset>-384292</wp:posOffset>
            </wp:positionV>
            <wp:extent cx="1774755" cy="527100"/>
            <wp:effectExtent l="0" t="0" r="0" b="635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755" cy="5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13C2CA" w14:textId="0101FB8B" w:rsidR="45276B52" w:rsidRDefault="149CD666" w:rsidP="0E9E275B">
      <w:pPr>
        <w:jc w:val="both"/>
        <w:rPr>
          <w:rFonts w:ascii="Arial" w:hAnsi="Arial" w:cs="Arial"/>
          <w:b/>
          <w:bCs/>
          <w:color w:val="2F5496" w:themeColor="accent1" w:themeShade="BF"/>
          <w:sz w:val="20"/>
          <w:szCs w:val="20"/>
        </w:rPr>
      </w:pPr>
      <w:r w:rsidRPr="0E9E275B">
        <w:rPr>
          <w:rFonts w:ascii="Arial" w:hAnsi="Arial" w:cs="Arial"/>
          <w:b/>
          <w:bCs/>
          <w:color w:val="2F5496" w:themeColor="accent1" w:themeShade="BF"/>
          <w:sz w:val="20"/>
          <w:szCs w:val="20"/>
        </w:rPr>
        <w:t xml:space="preserve">Consultation publique </w:t>
      </w:r>
      <w:r w:rsidR="10493798" w:rsidRPr="0E9E275B">
        <w:rPr>
          <w:rFonts w:ascii="Arial" w:hAnsi="Arial" w:cs="Arial"/>
          <w:b/>
          <w:bCs/>
          <w:color w:val="2F5496" w:themeColor="accent1" w:themeShade="BF"/>
          <w:sz w:val="20"/>
          <w:szCs w:val="20"/>
        </w:rPr>
        <w:t xml:space="preserve">n°2024-05 </w:t>
      </w:r>
      <w:r w:rsidRPr="0E9E275B">
        <w:rPr>
          <w:rFonts w:ascii="Arial" w:hAnsi="Arial" w:cs="Arial"/>
          <w:b/>
          <w:bCs/>
          <w:color w:val="2F5496" w:themeColor="accent1" w:themeShade="BF"/>
          <w:sz w:val="20"/>
          <w:szCs w:val="20"/>
        </w:rPr>
        <w:t>du 16 avril 2024 relative à l’évolution des prestations annexes réalisées à titre exclusif par les gestionnaires de réseaux de distribution d’électricité</w:t>
      </w:r>
    </w:p>
    <w:p w14:paraId="4E228E5C" w14:textId="174DB2D5" w:rsidR="5E3BF87E" w:rsidRDefault="5E3BF87E" w:rsidP="0E9E275B">
      <w:pPr>
        <w:jc w:val="both"/>
        <w:rPr>
          <w:rFonts w:ascii="Arial" w:hAnsi="Arial" w:cs="Arial"/>
          <w:b/>
          <w:bCs/>
          <w:color w:val="2F5496" w:themeColor="accent1" w:themeShade="BF"/>
          <w:sz w:val="20"/>
          <w:szCs w:val="20"/>
        </w:rPr>
      </w:pPr>
    </w:p>
    <w:p w14:paraId="3012A8DD" w14:textId="186F628A" w:rsidR="00CC4FDD" w:rsidRPr="00CC4FDD" w:rsidRDefault="2CDD282F" w:rsidP="0E9E275B">
      <w:pPr>
        <w:jc w:val="both"/>
        <w:rPr>
          <w:rFonts w:ascii="Arial" w:hAnsi="Arial" w:cs="Arial"/>
          <w:sz w:val="20"/>
          <w:szCs w:val="20"/>
        </w:rPr>
      </w:pPr>
      <w:r w:rsidRPr="0E9E275B">
        <w:rPr>
          <w:rFonts w:ascii="Arial" w:hAnsi="Arial" w:cs="Arial"/>
          <w:sz w:val="20"/>
          <w:szCs w:val="20"/>
        </w:rPr>
        <w:t>Réponse d’EDF</w:t>
      </w:r>
    </w:p>
    <w:p w14:paraId="29DB21F4" w14:textId="4BBFC0C3" w:rsidR="00CC4FDD" w:rsidRPr="00CC4FDD" w:rsidRDefault="00CC4FDD" w:rsidP="5E3BF87E">
      <w:pPr>
        <w:pBdr>
          <w:top w:val="single" w:sz="4" w:space="1" w:color="auto"/>
        </w:pBdr>
        <w:jc w:val="right"/>
        <w:rPr>
          <w:rFonts w:ascii="Arial" w:hAnsi="Arial" w:cs="Arial"/>
          <w:sz w:val="20"/>
          <w:szCs w:val="20"/>
        </w:rPr>
      </w:pPr>
      <w:r w:rsidRPr="5E3BF87E">
        <w:rPr>
          <w:rFonts w:ascii="Arial" w:hAnsi="Arial" w:cs="Arial"/>
          <w:sz w:val="20"/>
          <w:szCs w:val="20"/>
        </w:rPr>
        <w:t xml:space="preserve">Paris, le </w:t>
      </w:r>
      <w:r w:rsidR="5671F72B" w:rsidRPr="5E3BF87E">
        <w:rPr>
          <w:rFonts w:ascii="Arial" w:hAnsi="Arial" w:cs="Arial"/>
          <w:sz w:val="20"/>
          <w:szCs w:val="20"/>
        </w:rPr>
        <w:t>17 mai 2024</w:t>
      </w:r>
    </w:p>
    <w:p w14:paraId="78408EB4" w14:textId="622BD920" w:rsidR="5671F72B" w:rsidRDefault="5671F72B" w:rsidP="5E3BF87E">
      <w:pPr>
        <w:spacing w:before="600" w:after="240" w:line="264" w:lineRule="auto"/>
        <w:jc w:val="both"/>
      </w:pPr>
      <w:r w:rsidRPr="5E3BF87E">
        <w:rPr>
          <w:rFonts w:ascii="Calibri" w:eastAsia="Calibri" w:hAnsi="Calibri" w:cs="Calibri"/>
          <w:b/>
          <w:bCs/>
          <w:color w:val="000099"/>
        </w:rPr>
        <w:t>Propos liminaire</w:t>
      </w:r>
    </w:p>
    <w:p w14:paraId="388F82BD" w14:textId="4DF75B44" w:rsidR="5671F72B" w:rsidRDefault="5671F72B" w:rsidP="5E3BF87E">
      <w:pPr>
        <w:spacing w:after="120" w:line="276" w:lineRule="auto"/>
        <w:jc w:val="both"/>
        <w:rPr>
          <w:rFonts w:ascii="Calibri" w:eastAsia="Calibri" w:hAnsi="Calibri" w:cs="Calibri"/>
        </w:rPr>
      </w:pPr>
      <w:r w:rsidRPr="5E3BF87E">
        <w:rPr>
          <w:rFonts w:ascii="Calibri" w:eastAsia="Calibri" w:hAnsi="Calibri" w:cs="Calibri"/>
        </w:rPr>
        <w:t>Les réponses d’EDF à cette</w:t>
      </w:r>
      <w:r w:rsidRPr="5E3BF87E">
        <w:rPr>
          <w:rFonts w:ascii="Calibri" w:eastAsia="Calibri" w:hAnsi="Calibri" w:cs="Calibri"/>
          <w:i/>
          <w:iCs/>
        </w:rPr>
        <w:t xml:space="preserve"> </w:t>
      </w:r>
      <w:r w:rsidRPr="5E3BF87E">
        <w:rPr>
          <w:rFonts w:ascii="Calibri" w:eastAsia="Calibri" w:hAnsi="Calibri" w:cs="Calibri"/>
        </w:rPr>
        <w:t xml:space="preserve">consultation sont exprimées à plusieurs titres : i) en qualité de fournisseur d’électricité, ii) en qualité de maison-mère d’Enedis, iii) </w:t>
      </w:r>
      <w:r w:rsidR="5E029005" w:rsidRPr="5E3BF87E">
        <w:rPr>
          <w:rFonts w:ascii="Calibri" w:eastAsia="Calibri" w:hAnsi="Calibri" w:cs="Calibri"/>
        </w:rPr>
        <w:t>en qualité de gestionnaire de réseau d’électricité dans les Zones Non Interconnectées au réseau métropolitain continental (ZNI).</w:t>
      </w:r>
    </w:p>
    <w:p w14:paraId="0BBA9E38" w14:textId="080FAEC0" w:rsidR="5E029005" w:rsidRDefault="49C3C540" w:rsidP="5E3BF87E">
      <w:pPr>
        <w:spacing w:after="120" w:line="276" w:lineRule="auto"/>
        <w:jc w:val="both"/>
        <w:rPr>
          <w:rFonts w:ascii="Calibri" w:eastAsia="Calibri" w:hAnsi="Calibri" w:cs="Calibri"/>
        </w:rPr>
      </w:pPr>
      <w:r w:rsidRPr="0E9E275B">
        <w:rPr>
          <w:rFonts w:ascii="Calibri" w:eastAsia="Calibri" w:hAnsi="Calibri" w:cs="Calibri"/>
        </w:rPr>
        <w:t>En qualité de maison mère d’Enedis, EDF rappelle que, de manière générale, il est souhaitable de tarifer les prestations annexes réalisées par le GRD au niveau le plus proche de leur</w:t>
      </w:r>
      <w:r w:rsidR="00227C44">
        <w:rPr>
          <w:rFonts w:ascii="Calibri" w:eastAsia="Calibri" w:hAnsi="Calibri" w:cs="Calibri"/>
        </w:rPr>
        <w:t>s</w:t>
      </w:r>
      <w:r w:rsidRPr="0E9E275B">
        <w:rPr>
          <w:rFonts w:ascii="Calibri" w:eastAsia="Calibri" w:hAnsi="Calibri" w:cs="Calibri"/>
        </w:rPr>
        <w:t xml:space="preserve"> coût</w:t>
      </w:r>
      <w:r w:rsidR="00227C44">
        <w:rPr>
          <w:rFonts w:ascii="Calibri" w:eastAsia="Calibri" w:hAnsi="Calibri" w:cs="Calibri"/>
        </w:rPr>
        <w:t>s</w:t>
      </w:r>
      <w:r w:rsidRPr="0E9E275B">
        <w:rPr>
          <w:rFonts w:ascii="Calibri" w:eastAsia="Calibri" w:hAnsi="Calibri" w:cs="Calibri"/>
        </w:rPr>
        <w:t xml:space="preserve"> estimé</w:t>
      </w:r>
      <w:r w:rsidR="00227C44">
        <w:rPr>
          <w:rFonts w:ascii="Calibri" w:eastAsia="Calibri" w:hAnsi="Calibri" w:cs="Calibri"/>
        </w:rPr>
        <w:t xml:space="preserve">s </w:t>
      </w:r>
      <w:r w:rsidRPr="0E9E275B">
        <w:rPr>
          <w:rFonts w:ascii="Calibri" w:eastAsia="Calibri" w:hAnsi="Calibri" w:cs="Calibri"/>
        </w:rPr>
        <w:t xml:space="preserve">et de faire supporter </w:t>
      </w:r>
      <w:r w:rsidR="00227C44">
        <w:rPr>
          <w:rFonts w:ascii="Calibri" w:eastAsia="Calibri" w:hAnsi="Calibri" w:cs="Calibri"/>
        </w:rPr>
        <w:t xml:space="preserve">ces derniers </w:t>
      </w:r>
      <w:r w:rsidRPr="0E9E275B">
        <w:rPr>
          <w:rFonts w:ascii="Calibri" w:eastAsia="Calibri" w:hAnsi="Calibri" w:cs="Calibri"/>
        </w:rPr>
        <w:t>à leurs bénéficiaires plutôt que de prévoir leur prise en charge par l’ensemble des utilisateurs du réseau via leur inclusion dans le tarif d’utilisation des réseaux.</w:t>
      </w:r>
      <w:r w:rsidR="0009191C">
        <w:rPr>
          <w:rFonts w:ascii="Calibri" w:eastAsia="Calibri" w:hAnsi="Calibri" w:cs="Calibri"/>
        </w:rPr>
        <w:t xml:space="preserve"> EDF est en faveur du principe d’indexation</w:t>
      </w:r>
      <w:r w:rsidR="007C5DFE">
        <w:rPr>
          <w:rFonts w:ascii="Calibri" w:eastAsia="Calibri" w:hAnsi="Calibri" w:cs="Calibri"/>
        </w:rPr>
        <w:t xml:space="preserve">, néanmoins l’ampleur </w:t>
      </w:r>
      <w:r w:rsidR="007C5DFE" w:rsidRPr="007C5DFE">
        <w:rPr>
          <w:rFonts w:ascii="Calibri" w:eastAsia="Calibri" w:hAnsi="Calibri" w:cs="Calibri"/>
        </w:rPr>
        <w:t>d</w:t>
      </w:r>
      <w:r w:rsidRPr="007C5DFE">
        <w:rPr>
          <w:rFonts w:ascii="Calibri" w:eastAsia="Calibri" w:hAnsi="Calibri" w:cs="Calibri"/>
        </w:rPr>
        <w:t xml:space="preserve">es mises à </w:t>
      </w:r>
      <w:r w:rsidR="007C5DFE" w:rsidRPr="007C5DFE">
        <w:rPr>
          <w:rFonts w:ascii="Calibri" w:eastAsia="Calibri" w:hAnsi="Calibri" w:cs="Calibri"/>
        </w:rPr>
        <w:t>niveau des</w:t>
      </w:r>
      <w:r w:rsidRPr="007C5DFE">
        <w:rPr>
          <w:rFonts w:ascii="Calibri" w:eastAsia="Calibri" w:hAnsi="Calibri" w:cs="Calibri"/>
        </w:rPr>
        <w:t xml:space="preserve"> tarifs sur </w:t>
      </w:r>
      <w:r w:rsidR="007C5DFE" w:rsidRPr="007C5DFE">
        <w:rPr>
          <w:rFonts w:ascii="Calibri" w:eastAsia="Calibri" w:hAnsi="Calibri" w:cs="Calibri"/>
        </w:rPr>
        <w:t>les prestations</w:t>
      </w:r>
      <w:r w:rsidRPr="007C5DFE">
        <w:rPr>
          <w:rFonts w:ascii="Calibri" w:eastAsia="Calibri" w:hAnsi="Calibri" w:cs="Calibri"/>
        </w:rPr>
        <w:t xml:space="preserve"> </w:t>
      </w:r>
      <w:r w:rsidR="0FA927B2" w:rsidRPr="007C5DFE">
        <w:rPr>
          <w:rFonts w:ascii="Calibri" w:eastAsia="Calibri" w:hAnsi="Calibri" w:cs="Calibri"/>
        </w:rPr>
        <w:t xml:space="preserve">abordées dans cette consultation </w:t>
      </w:r>
      <w:r w:rsidR="007C5DFE" w:rsidRPr="007C5DFE">
        <w:rPr>
          <w:rFonts w:ascii="Calibri" w:eastAsia="Calibri" w:hAnsi="Calibri" w:cs="Calibri"/>
        </w:rPr>
        <w:t>amène à</w:t>
      </w:r>
      <w:r w:rsidR="29A6DF8B" w:rsidRPr="007C5DFE">
        <w:rPr>
          <w:rFonts w:ascii="Calibri" w:eastAsia="Calibri" w:hAnsi="Calibri" w:cs="Calibri"/>
        </w:rPr>
        <w:t xml:space="preserve"> se réinterroger sur les </w:t>
      </w:r>
      <w:r w:rsidR="007C5DFE" w:rsidRPr="007C5DFE">
        <w:rPr>
          <w:rFonts w:ascii="Calibri" w:eastAsia="Calibri" w:hAnsi="Calibri" w:cs="Calibri"/>
        </w:rPr>
        <w:t>formules d’</w:t>
      </w:r>
      <w:r w:rsidR="29A6DF8B" w:rsidRPr="007C5DFE">
        <w:rPr>
          <w:rFonts w:ascii="Calibri" w:eastAsia="Calibri" w:hAnsi="Calibri" w:cs="Calibri"/>
        </w:rPr>
        <w:t>indexations retenues en début de période tarifaire.</w:t>
      </w:r>
      <w:r w:rsidR="29A6DF8B" w:rsidRPr="0E9E275B">
        <w:rPr>
          <w:rFonts w:ascii="Calibri" w:eastAsia="Calibri" w:hAnsi="Calibri" w:cs="Calibri"/>
        </w:rPr>
        <w:t xml:space="preserve"> </w:t>
      </w:r>
    </w:p>
    <w:p w14:paraId="4EC544E0" w14:textId="7FDB663F" w:rsidR="6573BA4D" w:rsidRDefault="007C5DFE" w:rsidP="0E9E275B">
      <w:pPr>
        <w:spacing w:after="12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En complément aux questions de la consultation, </w:t>
      </w:r>
      <w:r w:rsidR="00D6219C">
        <w:rPr>
          <w:rFonts w:ascii="Calibri" w:eastAsia="Calibri" w:hAnsi="Calibri" w:cs="Calibri"/>
        </w:rPr>
        <w:t xml:space="preserve">EDF propose </w:t>
      </w:r>
      <w:r w:rsidR="598721B1" w:rsidRPr="0E9E275B">
        <w:rPr>
          <w:rFonts w:ascii="Calibri" w:eastAsia="Calibri" w:hAnsi="Calibri" w:cs="Calibri"/>
        </w:rPr>
        <w:t>que, pour la prestation de résiliation sans suppression du raccordement du segment Entreprises C2-C4 (F140A), le catalogue distingue la résiliation à l’initiative du client de celle à l’initiative du fournisseur. En effet, dans le catalogue actuel, nulle part il n’est fait mention de la possibilité pour le fournisseur de résilier le point à son initiative alors que la dernière version de la procédure de résiliation à l’initiative du fournisseur pour les points de connexion existants, raccordés au domaine de tension HTA et BT &gt; 36 kVA a été validée au 1</w:t>
      </w:r>
      <w:r w:rsidR="598721B1" w:rsidRPr="0E9E275B">
        <w:rPr>
          <w:rFonts w:ascii="Calibri" w:eastAsia="Calibri" w:hAnsi="Calibri" w:cs="Calibri"/>
          <w:vertAlign w:val="superscript"/>
        </w:rPr>
        <w:t>er</w:t>
      </w:r>
      <w:r w:rsidR="598721B1" w:rsidRPr="0E9E275B">
        <w:rPr>
          <w:rFonts w:ascii="Calibri" w:eastAsia="Calibri" w:hAnsi="Calibri" w:cs="Calibri"/>
        </w:rPr>
        <w:t xml:space="preserve"> janvier 2023. EDF souhaite qu’à l’instar du segment C5, l’option de la prestation de résiliation à l’initiative du fournisseur apparaisse dans le catalogue afin de la mettre en visibilité de tous.</w:t>
      </w:r>
      <w:r w:rsidR="00D6219C">
        <w:rPr>
          <w:rFonts w:ascii="Calibri" w:eastAsia="Calibri" w:hAnsi="Calibri" w:cs="Calibri"/>
        </w:rPr>
        <w:t xml:space="preserve"> EDF avait partagé cette proposition</w:t>
      </w:r>
      <w:r w:rsidR="598721B1" w:rsidRPr="0E9E275B">
        <w:rPr>
          <w:rFonts w:ascii="Calibri" w:eastAsia="Calibri" w:hAnsi="Calibri" w:cs="Calibri"/>
        </w:rPr>
        <w:t xml:space="preserve"> </w:t>
      </w:r>
      <w:r w:rsidR="00D6219C" w:rsidRPr="0E9E275B">
        <w:rPr>
          <w:rFonts w:ascii="Calibri" w:eastAsia="Calibri" w:hAnsi="Calibri" w:cs="Calibri"/>
        </w:rPr>
        <w:t>en GT Procédures Electricité sous l’égide de la CRE du 1</w:t>
      </w:r>
      <w:r w:rsidR="00D6219C" w:rsidRPr="0E9E275B">
        <w:rPr>
          <w:rFonts w:ascii="Calibri" w:eastAsia="Calibri" w:hAnsi="Calibri" w:cs="Calibri"/>
          <w:vertAlign w:val="superscript"/>
        </w:rPr>
        <w:t>er</w:t>
      </w:r>
      <w:r w:rsidR="00D6219C" w:rsidRPr="0E9E275B">
        <w:rPr>
          <w:rFonts w:ascii="Calibri" w:eastAsia="Calibri" w:hAnsi="Calibri" w:cs="Calibri"/>
        </w:rPr>
        <w:t xml:space="preserve"> décembre 2023</w:t>
      </w:r>
      <w:r w:rsidR="00D6219C">
        <w:rPr>
          <w:rFonts w:ascii="Calibri" w:eastAsia="Calibri" w:hAnsi="Calibri" w:cs="Calibri"/>
        </w:rPr>
        <w:t>.</w:t>
      </w:r>
    </w:p>
    <w:p w14:paraId="0B71E67D" w14:textId="30D9EF92" w:rsidR="6573BA4D" w:rsidRDefault="00871C46" w:rsidP="5E3BF87E">
      <w:pPr>
        <w:spacing w:after="12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Également e</w:t>
      </w:r>
      <w:r w:rsidR="5D1FFD7D" w:rsidRPr="0E9E275B">
        <w:rPr>
          <w:rFonts w:ascii="Calibri" w:eastAsia="Calibri" w:hAnsi="Calibri" w:cs="Calibri"/>
        </w:rPr>
        <w:t xml:space="preserve">n complément, </w:t>
      </w:r>
      <w:r w:rsidR="1874237A" w:rsidRPr="0E9E275B">
        <w:rPr>
          <w:rFonts w:ascii="Calibri" w:eastAsia="Calibri" w:hAnsi="Calibri" w:cs="Calibri"/>
        </w:rPr>
        <w:t>d</w:t>
      </w:r>
      <w:r w:rsidR="6573BA4D" w:rsidRPr="0E9E275B">
        <w:rPr>
          <w:rFonts w:ascii="Calibri" w:eastAsia="Calibri" w:hAnsi="Calibri" w:cs="Calibri"/>
        </w:rPr>
        <w:t xml:space="preserve">ans le cas particulier des ZNI, </w:t>
      </w:r>
      <w:r w:rsidR="1DA2E2B3" w:rsidRPr="0E9E275B">
        <w:rPr>
          <w:rFonts w:ascii="Calibri" w:eastAsia="Calibri" w:hAnsi="Calibri" w:cs="Calibri"/>
        </w:rPr>
        <w:t>EDF souhaite également attirer l’attention de la CRE sur l</w:t>
      </w:r>
      <w:r w:rsidR="779F1935" w:rsidRPr="0E9E275B">
        <w:rPr>
          <w:rFonts w:ascii="Calibri" w:eastAsia="Calibri" w:hAnsi="Calibri" w:cs="Calibri"/>
        </w:rPr>
        <w:t>a remise en état des compteurs communicants après démonstration d’une fraude</w:t>
      </w:r>
      <w:r w:rsidR="1DA2E2B3" w:rsidRPr="0E9E275B">
        <w:rPr>
          <w:rFonts w:ascii="Calibri" w:eastAsia="Calibri" w:hAnsi="Calibri" w:cs="Calibri"/>
        </w:rPr>
        <w:t>.</w:t>
      </w:r>
      <w:r w:rsidR="641DD09F" w:rsidRPr="0E9E275B">
        <w:rPr>
          <w:rFonts w:ascii="Calibri" w:eastAsia="Calibri" w:hAnsi="Calibri" w:cs="Calibri"/>
        </w:rPr>
        <w:t xml:space="preserve"> Actuellement, la tarification est effectuée en appliquant plusieurs prestations annexes (</w:t>
      </w:r>
      <w:r w:rsidR="05993B1E" w:rsidRPr="0E9E275B">
        <w:rPr>
          <w:rFonts w:ascii="Calibri" w:eastAsia="Calibri" w:hAnsi="Calibri" w:cs="Calibri"/>
        </w:rPr>
        <w:t xml:space="preserve">incluant </w:t>
      </w:r>
      <w:r w:rsidR="0001312E" w:rsidRPr="0E9E275B">
        <w:rPr>
          <w:rFonts w:ascii="Calibri" w:eastAsia="Calibri" w:hAnsi="Calibri" w:cs="Calibri"/>
        </w:rPr>
        <w:t xml:space="preserve">la vérification visuelle du compteur, les frais d’enquête, éventuellement le </w:t>
      </w:r>
      <w:r w:rsidR="05993B1E" w:rsidRPr="0E9E275B">
        <w:rPr>
          <w:rFonts w:ascii="Calibri" w:eastAsia="Calibri" w:hAnsi="Calibri" w:cs="Calibri"/>
        </w:rPr>
        <w:t>déplacement d’un agent assermenté,</w:t>
      </w:r>
      <w:r w:rsidR="05993B1E" w:rsidRPr="0E9E275B">
        <w:rPr>
          <w:rFonts w:ascii="Calibri" w:eastAsia="Calibri" w:hAnsi="Calibri" w:cs="Calibri"/>
          <w:i/>
          <w:iCs/>
        </w:rPr>
        <w:t xml:space="preserve"> ...</w:t>
      </w:r>
      <w:r w:rsidR="641DD09F" w:rsidRPr="0E9E275B">
        <w:rPr>
          <w:rFonts w:ascii="Calibri" w:eastAsia="Calibri" w:hAnsi="Calibri" w:cs="Calibri"/>
        </w:rPr>
        <w:t xml:space="preserve">). </w:t>
      </w:r>
      <w:r w:rsidR="0001312E" w:rsidRPr="0E9E275B">
        <w:rPr>
          <w:rFonts w:ascii="Calibri" w:eastAsia="Calibri" w:hAnsi="Calibri" w:cs="Calibri"/>
        </w:rPr>
        <w:t>La facturation de ces prestations ne permet pas de couvrir les coûts du GR</w:t>
      </w:r>
      <w:r w:rsidR="00E05C1B" w:rsidRPr="0E9E275B">
        <w:rPr>
          <w:rFonts w:ascii="Calibri" w:eastAsia="Calibri" w:hAnsi="Calibri" w:cs="Calibri"/>
        </w:rPr>
        <w:t>D</w:t>
      </w:r>
      <w:r w:rsidR="00651278" w:rsidRPr="0E9E275B">
        <w:rPr>
          <w:rFonts w:ascii="Calibri" w:eastAsia="Calibri" w:hAnsi="Calibri" w:cs="Calibri"/>
        </w:rPr>
        <w:t xml:space="preserve"> et fait porter à la collectivité une charge </w:t>
      </w:r>
      <w:r w:rsidR="00215AB4" w:rsidRPr="0E9E275B">
        <w:rPr>
          <w:rFonts w:ascii="Calibri" w:eastAsia="Calibri" w:hAnsi="Calibri" w:cs="Calibri"/>
        </w:rPr>
        <w:t xml:space="preserve">qu’elle </w:t>
      </w:r>
      <w:r w:rsidR="00227C44">
        <w:rPr>
          <w:rFonts w:ascii="Calibri" w:eastAsia="Calibri" w:hAnsi="Calibri" w:cs="Calibri"/>
        </w:rPr>
        <w:t>ne devrait pas</w:t>
      </w:r>
      <w:r w:rsidR="00215AB4" w:rsidRPr="0E9E275B">
        <w:rPr>
          <w:rFonts w:ascii="Calibri" w:eastAsia="Calibri" w:hAnsi="Calibri" w:cs="Calibri"/>
        </w:rPr>
        <w:t xml:space="preserve"> supporter.</w:t>
      </w:r>
      <w:r w:rsidR="0001312E" w:rsidRPr="0E9E275B">
        <w:rPr>
          <w:rFonts w:ascii="Calibri" w:eastAsia="Calibri" w:hAnsi="Calibri" w:cs="Calibri"/>
        </w:rPr>
        <w:t xml:space="preserve"> </w:t>
      </w:r>
      <w:r w:rsidR="641DD09F" w:rsidRPr="0E9E275B">
        <w:rPr>
          <w:rFonts w:ascii="Calibri" w:eastAsia="Calibri" w:hAnsi="Calibri" w:cs="Calibri"/>
        </w:rPr>
        <w:t>EDF suggère</w:t>
      </w:r>
      <w:r w:rsidR="4329EABB" w:rsidRPr="0E9E275B">
        <w:rPr>
          <w:rFonts w:ascii="Calibri" w:eastAsia="Calibri" w:hAnsi="Calibri" w:cs="Calibri"/>
        </w:rPr>
        <w:t xml:space="preserve"> </w:t>
      </w:r>
      <w:r w:rsidR="00324C3D" w:rsidRPr="0E9E275B">
        <w:rPr>
          <w:rFonts w:ascii="Calibri" w:eastAsia="Calibri" w:hAnsi="Calibri" w:cs="Calibri"/>
        </w:rPr>
        <w:t xml:space="preserve">donc </w:t>
      </w:r>
      <w:r w:rsidR="4329EABB" w:rsidRPr="0E9E275B">
        <w:rPr>
          <w:rFonts w:ascii="Calibri" w:eastAsia="Calibri" w:hAnsi="Calibri" w:cs="Calibri"/>
        </w:rPr>
        <w:t>la création</w:t>
      </w:r>
      <w:r w:rsidR="479E37F7" w:rsidRPr="0E9E275B">
        <w:rPr>
          <w:rFonts w:ascii="Calibri" w:eastAsia="Calibri" w:hAnsi="Calibri" w:cs="Calibri"/>
        </w:rPr>
        <w:t xml:space="preserve"> d’une prestation dédiée à la remise en état du compteur dans le cas particulier d’une fraude</w:t>
      </w:r>
      <w:r w:rsidR="0088698A" w:rsidRPr="0E9E275B">
        <w:rPr>
          <w:rFonts w:ascii="Calibri" w:eastAsia="Calibri" w:hAnsi="Calibri" w:cs="Calibri"/>
        </w:rPr>
        <w:t xml:space="preserve"> permettant de tenir compte des coûts spécifiques </w:t>
      </w:r>
      <w:r w:rsidR="00E05C1B" w:rsidRPr="0E9E275B">
        <w:rPr>
          <w:rFonts w:ascii="Calibri" w:eastAsia="Calibri" w:hAnsi="Calibri" w:cs="Calibri"/>
        </w:rPr>
        <w:t>du GRD</w:t>
      </w:r>
      <w:r w:rsidR="00324C3D" w:rsidRPr="0E9E275B">
        <w:rPr>
          <w:rFonts w:ascii="Calibri" w:eastAsia="Calibri" w:hAnsi="Calibri" w:cs="Calibri"/>
        </w:rPr>
        <w:t xml:space="preserve"> (durée d’intervention, tournée désoptimisée…</w:t>
      </w:r>
      <w:r w:rsidR="7B6C2603" w:rsidRPr="0E9E275B">
        <w:rPr>
          <w:rFonts w:ascii="Calibri" w:eastAsia="Calibri" w:hAnsi="Calibri" w:cs="Calibri"/>
        </w:rPr>
        <w:t>)</w:t>
      </w:r>
      <w:r w:rsidR="00227C44">
        <w:rPr>
          <w:rFonts w:ascii="Calibri" w:eastAsia="Calibri" w:hAnsi="Calibri" w:cs="Calibri"/>
        </w:rPr>
        <w:t xml:space="preserve"> et d’assurer la </w:t>
      </w:r>
      <w:r>
        <w:rPr>
          <w:rFonts w:ascii="Calibri" w:eastAsia="Calibri" w:hAnsi="Calibri" w:cs="Calibri"/>
        </w:rPr>
        <w:t>répercussion</w:t>
      </w:r>
      <w:r w:rsidR="00227C44">
        <w:rPr>
          <w:rFonts w:ascii="Calibri" w:eastAsia="Calibri" w:hAnsi="Calibri" w:cs="Calibri"/>
        </w:rPr>
        <w:t xml:space="preserve"> aux fraudeurs</w:t>
      </w:r>
      <w:r w:rsidR="7B6C2603" w:rsidRPr="0E9E275B">
        <w:rPr>
          <w:rFonts w:ascii="Calibri" w:eastAsia="Calibri" w:hAnsi="Calibri" w:cs="Calibri"/>
        </w:rPr>
        <w:t>.</w:t>
      </w:r>
      <w:r w:rsidR="62B279DD" w:rsidRPr="0E9E275B">
        <w:rPr>
          <w:rFonts w:ascii="Calibri" w:eastAsia="Calibri" w:hAnsi="Calibri" w:cs="Calibri"/>
        </w:rPr>
        <w:t xml:space="preserve"> </w:t>
      </w:r>
    </w:p>
    <w:p w14:paraId="2A2963BF" w14:textId="197D407E" w:rsidR="5E3BF87E" w:rsidRDefault="5E3BF87E" w:rsidP="0E9E275B">
      <w:pPr>
        <w:spacing w:after="120" w:line="276" w:lineRule="auto"/>
        <w:jc w:val="both"/>
        <w:rPr>
          <w:rFonts w:ascii="Calibri" w:eastAsia="Calibri" w:hAnsi="Calibri" w:cs="Calibri"/>
        </w:rPr>
      </w:pPr>
    </w:p>
    <w:p w14:paraId="473913DF" w14:textId="77777777" w:rsidR="00CC4FDD" w:rsidRPr="00CC4FDD" w:rsidRDefault="00CC4FDD" w:rsidP="0E9E275B">
      <w:pPr>
        <w:jc w:val="both"/>
        <w:rPr>
          <w:rFonts w:ascii="Arial" w:hAnsi="Arial" w:cs="Arial"/>
          <w:color w:val="2F5496" w:themeColor="accent1" w:themeShade="BF"/>
          <w:sz w:val="20"/>
          <w:szCs w:val="20"/>
        </w:rPr>
      </w:pPr>
    </w:p>
    <w:p w14:paraId="6B91FE62" w14:textId="77777777" w:rsidR="00CC4FDD" w:rsidRDefault="00CC4FDD" w:rsidP="0E9E27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948EBAC" w14:textId="6607BF8A" w:rsidR="0E9E275B" w:rsidRDefault="0E9E275B" w:rsidP="0E9E275B">
      <w:pPr>
        <w:jc w:val="both"/>
      </w:pPr>
      <w:r>
        <w:br w:type="page"/>
      </w:r>
    </w:p>
    <w:p w14:paraId="3D650107" w14:textId="3BBD8484" w:rsidR="7947E36F" w:rsidRDefault="54CF0E20" w:rsidP="0E9E275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E9E275B">
        <w:rPr>
          <w:rFonts w:ascii="Arial" w:hAnsi="Arial" w:cs="Arial"/>
          <w:b/>
          <w:bCs/>
          <w:sz w:val="20"/>
          <w:szCs w:val="20"/>
        </w:rPr>
        <w:lastRenderedPageBreak/>
        <w:t>Modalité de prise d’effet des évolutions des tarifs des prestations</w:t>
      </w:r>
    </w:p>
    <w:p w14:paraId="723F7A17" w14:textId="0E948D03" w:rsidR="5697D5BC" w:rsidRDefault="5697D5BC" w:rsidP="0E9E275B">
      <w:pPr>
        <w:jc w:val="both"/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</w:pPr>
    </w:p>
    <w:p w14:paraId="65F905DD" w14:textId="4851F88D" w:rsidR="7947E36F" w:rsidRDefault="54CF0E20" w:rsidP="0E9E275B">
      <w:pPr>
        <w:jc w:val="both"/>
      </w:pPr>
      <w:r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>Question 1 : Etes-vous favorable à ce que le tarif appliqué soit celui en vigueur au moment de la demande du client ou plutôt celui en vigueur au moment de la réalisation de la prestation ?</w:t>
      </w:r>
    </w:p>
    <w:p w14:paraId="0D4B56C0" w14:textId="1D90F5DB" w:rsidR="5697D5BC" w:rsidRDefault="0C57F108" w:rsidP="0E9E275B">
      <w:pPr>
        <w:jc w:val="both"/>
        <w:rPr>
          <w:rFonts w:eastAsiaTheme="minorEastAsia"/>
        </w:rPr>
      </w:pPr>
      <w:r w:rsidRPr="0E9E275B">
        <w:rPr>
          <w:rFonts w:eastAsiaTheme="minorEastAsia"/>
        </w:rPr>
        <w:t xml:space="preserve">EDF est favorable à ce que le tarif appliqué soit celui en vigueur au moment de la demande du client. </w:t>
      </w:r>
      <w:r w:rsidR="00871C46" w:rsidRPr="00871C46">
        <w:rPr>
          <w:rFonts w:eastAsiaTheme="minorEastAsia"/>
        </w:rPr>
        <w:t>Ce principe protège le consommateur et évite d’éventuels litiges liés à réévaluation à la hausse du tarif de prestation.</w:t>
      </w:r>
    </w:p>
    <w:p w14:paraId="752C19B5" w14:textId="4F564409" w:rsidR="5697D5BC" w:rsidRDefault="5697D5BC" w:rsidP="0E9E275B">
      <w:pPr>
        <w:jc w:val="both"/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</w:pPr>
    </w:p>
    <w:p w14:paraId="20E19C9D" w14:textId="562D198C" w:rsidR="7947E36F" w:rsidRDefault="54CF0E20" w:rsidP="0E9E275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E9E275B">
        <w:rPr>
          <w:rFonts w:ascii="Arial" w:hAnsi="Arial" w:cs="Arial"/>
          <w:b/>
          <w:bCs/>
          <w:sz w:val="20"/>
          <w:szCs w:val="20"/>
        </w:rPr>
        <w:t>Evolution de prestations annexes relatives à l’acheminement</w:t>
      </w:r>
    </w:p>
    <w:p w14:paraId="3D3D7B06" w14:textId="1EF1D7A0" w:rsidR="5697D5BC" w:rsidRDefault="5697D5BC" w:rsidP="0E9E275B">
      <w:pPr>
        <w:jc w:val="both"/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</w:pPr>
    </w:p>
    <w:p w14:paraId="5C9B2B00" w14:textId="77D85D31" w:rsidR="7947E36F" w:rsidRDefault="54CF0E20" w:rsidP="0E9E275B">
      <w:pPr>
        <w:spacing w:after="0"/>
        <w:jc w:val="both"/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</w:pPr>
      <w:r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>Question 2 : Etes-vous favorable à la mise à niveau du tarif de la prestation « Séparation des</w:t>
      </w:r>
      <w:r w:rsidR="73D99041"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 xml:space="preserve"> </w:t>
      </w:r>
      <w:r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>réseaux », compte tenu des coûts supportés par le GRD ?</w:t>
      </w:r>
    </w:p>
    <w:p w14:paraId="6132F500" w14:textId="26784C09" w:rsidR="5697D5BC" w:rsidRDefault="5697D5BC" w:rsidP="0E9E275B">
      <w:pPr>
        <w:spacing w:after="0"/>
        <w:jc w:val="both"/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</w:pPr>
    </w:p>
    <w:p w14:paraId="59F6CEDC" w14:textId="6B2D18B6" w:rsidR="5697D5BC" w:rsidRDefault="39F1F3F1" w:rsidP="5E3BF87E">
      <w:pPr>
        <w:jc w:val="both"/>
        <w:rPr>
          <w:rFonts w:eastAsiaTheme="minorEastAsia"/>
        </w:rPr>
      </w:pPr>
      <w:r w:rsidRPr="5E3BF87E">
        <w:rPr>
          <w:rFonts w:eastAsiaTheme="minorEastAsia"/>
        </w:rPr>
        <w:t xml:space="preserve">Conformément au propos liminaire, EDF est favorable à la mise à niveau du tarif de la prestation “Séparation des réseaux” afin de </w:t>
      </w:r>
      <w:r w:rsidR="11CE9EC3" w:rsidRPr="5E3BF87E">
        <w:rPr>
          <w:rFonts w:eastAsiaTheme="minorEastAsia"/>
        </w:rPr>
        <w:t xml:space="preserve">tarifer les prestations annexes des </w:t>
      </w:r>
      <w:r w:rsidR="003102D9">
        <w:rPr>
          <w:rFonts w:eastAsiaTheme="minorEastAsia"/>
        </w:rPr>
        <w:t>G</w:t>
      </w:r>
      <w:r w:rsidR="11CE9EC3" w:rsidRPr="5E3BF87E">
        <w:rPr>
          <w:rFonts w:eastAsiaTheme="minorEastAsia"/>
        </w:rPr>
        <w:t>RD au niveau le plus proche de leur</w:t>
      </w:r>
      <w:r w:rsidR="003102D9">
        <w:rPr>
          <w:rFonts w:eastAsiaTheme="minorEastAsia"/>
        </w:rPr>
        <w:t>s</w:t>
      </w:r>
      <w:r w:rsidR="11CE9EC3" w:rsidRPr="5E3BF87E">
        <w:rPr>
          <w:rFonts w:eastAsiaTheme="minorEastAsia"/>
        </w:rPr>
        <w:t xml:space="preserve"> coût</w:t>
      </w:r>
      <w:r w:rsidR="003102D9">
        <w:rPr>
          <w:rFonts w:eastAsiaTheme="minorEastAsia"/>
        </w:rPr>
        <w:t>s</w:t>
      </w:r>
      <w:r w:rsidR="11CE9EC3" w:rsidRPr="5E3BF87E">
        <w:rPr>
          <w:rFonts w:eastAsiaTheme="minorEastAsia"/>
        </w:rPr>
        <w:t xml:space="preserve"> estimé</w:t>
      </w:r>
      <w:r w:rsidR="003102D9">
        <w:rPr>
          <w:rFonts w:eastAsiaTheme="minorEastAsia"/>
        </w:rPr>
        <w:t>s</w:t>
      </w:r>
      <w:r w:rsidR="11CE9EC3" w:rsidRPr="5E3BF87E">
        <w:rPr>
          <w:rFonts w:eastAsiaTheme="minorEastAsia"/>
        </w:rPr>
        <w:t xml:space="preserve">. </w:t>
      </w:r>
    </w:p>
    <w:p w14:paraId="2AA87854" w14:textId="7C5298FB" w:rsidR="6BBEA187" w:rsidRDefault="6BBEA187" w:rsidP="5E3BF87E">
      <w:pPr>
        <w:jc w:val="both"/>
        <w:rPr>
          <w:rFonts w:eastAsiaTheme="minorEastAsia"/>
        </w:rPr>
      </w:pPr>
      <w:r w:rsidRPr="5E3BF87E">
        <w:rPr>
          <w:rFonts w:eastAsiaTheme="minorEastAsia"/>
        </w:rPr>
        <w:t>L’augmentation du tarif de la prestation est ici de près de 15%, il conviendra d’analyser les causes</w:t>
      </w:r>
      <w:r w:rsidR="003102D9">
        <w:rPr>
          <w:rFonts w:eastAsiaTheme="minorEastAsia"/>
        </w:rPr>
        <w:t xml:space="preserve"> du besoin</w:t>
      </w:r>
      <w:r w:rsidRPr="5E3BF87E">
        <w:rPr>
          <w:rFonts w:eastAsiaTheme="minorEastAsia"/>
        </w:rPr>
        <w:t xml:space="preserve"> d’un recalage </w:t>
      </w:r>
      <w:r w:rsidR="003102D9">
        <w:rPr>
          <w:rFonts w:eastAsiaTheme="minorEastAsia"/>
        </w:rPr>
        <w:t xml:space="preserve">d’une telle ampleur et notamment la pertinence </w:t>
      </w:r>
      <w:r w:rsidR="00871C46">
        <w:rPr>
          <w:rFonts w:eastAsiaTheme="minorEastAsia"/>
        </w:rPr>
        <w:t xml:space="preserve">de </w:t>
      </w:r>
      <w:r w:rsidR="00871C46" w:rsidRPr="5E3BF87E">
        <w:rPr>
          <w:rFonts w:eastAsiaTheme="minorEastAsia"/>
        </w:rPr>
        <w:t>la</w:t>
      </w:r>
      <w:r w:rsidR="003102D9">
        <w:rPr>
          <w:rFonts w:eastAsiaTheme="minorEastAsia"/>
        </w:rPr>
        <w:t xml:space="preserve"> formule d</w:t>
      </w:r>
      <w:r w:rsidR="27BB8A36" w:rsidRPr="5E3BF87E">
        <w:rPr>
          <w:rFonts w:eastAsiaTheme="minorEastAsia"/>
        </w:rPr>
        <w:t>’indexation retenue en début de période tarifaire.</w:t>
      </w:r>
    </w:p>
    <w:p w14:paraId="47C5340A" w14:textId="7FF1E30E" w:rsidR="5697D5BC" w:rsidRDefault="5697D5BC" w:rsidP="0E9E275B">
      <w:pPr>
        <w:jc w:val="both"/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</w:pPr>
    </w:p>
    <w:p w14:paraId="3A4145B9" w14:textId="113AE101" w:rsidR="7947E36F" w:rsidRDefault="54CF0E20" w:rsidP="0E9E275B">
      <w:pPr>
        <w:jc w:val="both"/>
      </w:pPr>
      <w:r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>Question 3 : Etes-vous favorable à l’instauration d’une option spécifique pour la réalisation d’un plan de prévention, dans le cadre de la réalisation de la prestation « Séparation de réseaux » ?</w:t>
      </w:r>
    </w:p>
    <w:p w14:paraId="434AF1E2" w14:textId="70F6F4A6" w:rsidR="5697D5BC" w:rsidRDefault="2FA01AA7" w:rsidP="5E3BF87E">
      <w:pPr>
        <w:jc w:val="both"/>
        <w:rPr>
          <w:rFonts w:eastAsiaTheme="minorEastAsia"/>
        </w:rPr>
      </w:pPr>
      <w:r w:rsidRPr="5E3BF87E">
        <w:rPr>
          <w:rFonts w:eastAsiaTheme="minorEastAsia"/>
        </w:rPr>
        <w:t>EDF est favorable à l’instauration d’une option spécifique pour la réalisation d’un plan de prévention</w:t>
      </w:r>
      <w:r w:rsidR="40D17607" w:rsidRPr="5E3BF87E">
        <w:rPr>
          <w:rFonts w:eastAsiaTheme="minorEastAsia"/>
        </w:rPr>
        <w:t>, prenant ainsi en compte la différence de coût significative de la prestation</w:t>
      </w:r>
      <w:r w:rsidR="0558BF7B" w:rsidRPr="5E3BF87E">
        <w:rPr>
          <w:rFonts w:eastAsiaTheme="minorEastAsia"/>
        </w:rPr>
        <w:t>,</w:t>
      </w:r>
      <w:r w:rsidR="40D17607" w:rsidRPr="5E3BF87E">
        <w:rPr>
          <w:rFonts w:eastAsiaTheme="minorEastAsia"/>
        </w:rPr>
        <w:t xml:space="preserve"> suivant</w:t>
      </w:r>
      <w:r w:rsidR="0C4E1A03" w:rsidRPr="5E3BF87E">
        <w:rPr>
          <w:rFonts w:eastAsiaTheme="minorEastAsia"/>
        </w:rPr>
        <w:t xml:space="preserve"> </w:t>
      </w:r>
      <w:r w:rsidR="40D17607" w:rsidRPr="5E3BF87E">
        <w:rPr>
          <w:rFonts w:eastAsiaTheme="minorEastAsia"/>
        </w:rPr>
        <w:t xml:space="preserve">qu’elle soit réalisée dans le cadre </w:t>
      </w:r>
      <w:r w:rsidR="56290394" w:rsidRPr="5E3BF87E">
        <w:rPr>
          <w:rFonts w:eastAsiaTheme="minorEastAsia"/>
        </w:rPr>
        <w:t xml:space="preserve">ou non </w:t>
      </w:r>
      <w:r w:rsidR="40D17607" w:rsidRPr="5E3BF87E">
        <w:rPr>
          <w:rFonts w:eastAsiaTheme="minorEastAsia"/>
        </w:rPr>
        <w:t xml:space="preserve">d’un plan de </w:t>
      </w:r>
      <w:r w:rsidR="11832E63" w:rsidRPr="5E3BF87E">
        <w:rPr>
          <w:rFonts w:eastAsiaTheme="minorEastAsia"/>
        </w:rPr>
        <w:t>pr</w:t>
      </w:r>
      <w:r w:rsidR="40D17607" w:rsidRPr="5E3BF87E">
        <w:rPr>
          <w:rFonts w:eastAsiaTheme="minorEastAsia"/>
        </w:rPr>
        <w:t>évention.</w:t>
      </w:r>
    </w:p>
    <w:p w14:paraId="43D54A91" w14:textId="46944136" w:rsidR="5697D5BC" w:rsidRDefault="5697D5BC" w:rsidP="0E9E275B">
      <w:pPr>
        <w:jc w:val="both"/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</w:pPr>
    </w:p>
    <w:p w14:paraId="70C0D06A" w14:textId="31AA703B" w:rsidR="7947E36F" w:rsidRDefault="54CF0E20" w:rsidP="0E9E275B">
      <w:pPr>
        <w:jc w:val="both"/>
      </w:pPr>
      <w:r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>Question 4 : Etes-vous favorable à la mise à niveau du tarif des prestations relatives aux interventions pour permettre la vérification des protections HTA et/ou des protections de découplage, compte tenu des coûts supportés par le GRD ?</w:t>
      </w:r>
    </w:p>
    <w:p w14:paraId="7D060155" w14:textId="1B80C073" w:rsidR="71785EDB" w:rsidRDefault="71785EDB" w:rsidP="5E3BF87E">
      <w:pPr>
        <w:jc w:val="both"/>
        <w:rPr>
          <w:rFonts w:eastAsiaTheme="minorEastAsia"/>
        </w:rPr>
      </w:pPr>
      <w:r w:rsidRPr="5E3BF87E">
        <w:rPr>
          <w:rFonts w:eastAsiaTheme="minorEastAsia"/>
        </w:rPr>
        <w:t>Conformément au propos liminaire, EDF est favorable à la mise à niveau du tarif des prestations relatives aux interventions pour permettre la vérification des protections HTA et/ou des protections de découplage afin de tarifer les prestations annexes des RD au niveau le plus proche de leur</w:t>
      </w:r>
      <w:r w:rsidR="003102D9">
        <w:rPr>
          <w:rFonts w:eastAsiaTheme="minorEastAsia"/>
        </w:rPr>
        <w:t>s</w:t>
      </w:r>
      <w:r w:rsidRPr="5E3BF87E">
        <w:rPr>
          <w:rFonts w:eastAsiaTheme="minorEastAsia"/>
        </w:rPr>
        <w:t xml:space="preserve"> coût</w:t>
      </w:r>
      <w:r w:rsidR="003102D9">
        <w:rPr>
          <w:rFonts w:eastAsiaTheme="minorEastAsia"/>
        </w:rPr>
        <w:t>s</w:t>
      </w:r>
      <w:r w:rsidRPr="5E3BF87E">
        <w:rPr>
          <w:rFonts w:eastAsiaTheme="minorEastAsia"/>
        </w:rPr>
        <w:t xml:space="preserve"> estimé</w:t>
      </w:r>
      <w:r w:rsidR="003102D9">
        <w:rPr>
          <w:rFonts w:eastAsiaTheme="minorEastAsia"/>
        </w:rPr>
        <w:t>s</w:t>
      </w:r>
      <w:r w:rsidRPr="5E3BF87E">
        <w:rPr>
          <w:rFonts w:eastAsiaTheme="minorEastAsia"/>
        </w:rPr>
        <w:t xml:space="preserve">. </w:t>
      </w:r>
    </w:p>
    <w:p w14:paraId="393C4C2D" w14:textId="653F59E9" w:rsidR="00871C46" w:rsidRDefault="7F8EC6F3" w:rsidP="00871C46">
      <w:pPr>
        <w:jc w:val="both"/>
        <w:rPr>
          <w:rFonts w:eastAsiaTheme="minorEastAsia"/>
        </w:rPr>
      </w:pPr>
      <w:r w:rsidRPr="0E9E275B">
        <w:rPr>
          <w:rFonts w:eastAsiaTheme="minorEastAsia"/>
        </w:rPr>
        <w:t>L’augmentation du tarif de ces 3 prestation</w:t>
      </w:r>
      <w:r w:rsidR="667E1D8B" w:rsidRPr="0E9E275B">
        <w:rPr>
          <w:rFonts w:eastAsiaTheme="minorEastAsia"/>
        </w:rPr>
        <w:t>s</w:t>
      </w:r>
      <w:r w:rsidRPr="0E9E275B">
        <w:rPr>
          <w:rFonts w:eastAsiaTheme="minorEastAsia"/>
        </w:rPr>
        <w:t xml:space="preserve"> est ici de </w:t>
      </w:r>
      <w:r w:rsidR="064936E6" w:rsidRPr="0E9E275B">
        <w:rPr>
          <w:rFonts w:eastAsiaTheme="minorEastAsia"/>
        </w:rPr>
        <w:t>12 à 13</w:t>
      </w:r>
      <w:r w:rsidRPr="0E9E275B">
        <w:rPr>
          <w:rFonts w:eastAsiaTheme="minorEastAsia"/>
        </w:rPr>
        <w:t xml:space="preserve">%, </w:t>
      </w:r>
      <w:r w:rsidR="00871C46" w:rsidRPr="5E3BF87E">
        <w:rPr>
          <w:rFonts w:eastAsiaTheme="minorEastAsia"/>
        </w:rPr>
        <w:t xml:space="preserve">il conviendra </w:t>
      </w:r>
      <w:r w:rsidR="00871C46">
        <w:rPr>
          <w:rFonts w:eastAsiaTheme="minorEastAsia"/>
        </w:rPr>
        <w:t xml:space="preserve">ici aussi </w:t>
      </w:r>
      <w:r w:rsidR="00871C46" w:rsidRPr="5E3BF87E">
        <w:rPr>
          <w:rFonts w:eastAsiaTheme="minorEastAsia"/>
        </w:rPr>
        <w:t>d’analyser les causes</w:t>
      </w:r>
      <w:r w:rsidR="00871C46">
        <w:rPr>
          <w:rFonts w:eastAsiaTheme="minorEastAsia"/>
        </w:rPr>
        <w:t xml:space="preserve"> du besoin</w:t>
      </w:r>
      <w:r w:rsidR="00871C46" w:rsidRPr="5E3BF87E">
        <w:rPr>
          <w:rFonts w:eastAsiaTheme="minorEastAsia"/>
        </w:rPr>
        <w:t xml:space="preserve"> d’un recalage </w:t>
      </w:r>
      <w:r w:rsidR="00871C46">
        <w:rPr>
          <w:rFonts w:eastAsiaTheme="minorEastAsia"/>
        </w:rPr>
        <w:t xml:space="preserve">d’une telle ampleur et notamment la pertinence de </w:t>
      </w:r>
      <w:r w:rsidR="00871C46" w:rsidRPr="5E3BF87E">
        <w:rPr>
          <w:rFonts w:eastAsiaTheme="minorEastAsia"/>
        </w:rPr>
        <w:t>la</w:t>
      </w:r>
      <w:r w:rsidR="00871C46">
        <w:rPr>
          <w:rFonts w:eastAsiaTheme="minorEastAsia"/>
        </w:rPr>
        <w:t xml:space="preserve"> formule d</w:t>
      </w:r>
      <w:r w:rsidR="00871C46" w:rsidRPr="5E3BF87E">
        <w:rPr>
          <w:rFonts w:eastAsiaTheme="minorEastAsia"/>
        </w:rPr>
        <w:t>’indexation retenue en début de période tarifaire.</w:t>
      </w:r>
    </w:p>
    <w:p w14:paraId="780824D0" w14:textId="09E6E73B" w:rsidR="71785EDB" w:rsidRDefault="71785EDB" w:rsidP="0E9E275B">
      <w:pPr>
        <w:jc w:val="both"/>
        <w:rPr>
          <w:rFonts w:eastAsiaTheme="minorEastAsia"/>
        </w:rPr>
      </w:pPr>
    </w:p>
    <w:p w14:paraId="4457B6B7" w14:textId="5673D495" w:rsidR="5697D5BC" w:rsidRDefault="5697D5BC" w:rsidP="0E9E275B">
      <w:pPr>
        <w:jc w:val="both"/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</w:pPr>
    </w:p>
    <w:p w14:paraId="55104528" w14:textId="07D4955C" w:rsidR="7947E36F" w:rsidRDefault="54CF0E20" w:rsidP="0E9E275B">
      <w:pPr>
        <w:jc w:val="both"/>
      </w:pPr>
      <w:r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>Question 5 : Etes-vous favorable à la prise en charge par le tarif d’utilisation du réseau public</w:t>
      </w:r>
      <w:r w:rsidR="18BFB7C1"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 xml:space="preserve"> </w:t>
      </w:r>
      <w:r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>de</w:t>
      </w:r>
      <w:r w:rsidR="44D0AB01"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 xml:space="preserve"> </w:t>
      </w:r>
      <w:r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>distribution d’électricité des coûts relatifs au changement de compteur, dans le cas d’une</w:t>
      </w:r>
      <w:r w:rsidR="4AA2C4F9"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 xml:space="preserve"> </w:t>
      </w:r>
      <w:r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 xml:space="preserve">demande </w:t>
      </w:r>
      <w:r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lastRenderedPageBreak/>
        <w:t>d’activation d’un calendrier fournisseur lors de la modification de la formule tarifaire</w:t>
      </w:r>
      <w:r w:rsidR="7E672C20"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 xml:space="preserve"> </w:t>
      </w:r>
      <w:r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>d’acheminement pour les utilisateurs du réseau BT &gt; 36 kVA et HTA ?</w:t>
      </w:r>
    </w:p>
    <w:p w14:paraId="37E10A0F" w14:textId="320BDD18" w:rsidR="00124459" w:rsidRDefault="3CADBD15" w:rsidP="0E9E275B">
      <w:pPr>
        <w:jc w:val="both"/>
        <w:rPr>
          <w:rFonts w:ascii="Calibri" w:eastAsia="Calibri" w:hAnsi="Calibri" w:cs="Calibri"/>
        </w:rPr>
      </w:pPr>
      <w:r w:rsidRPr="0E9E275B">
        <w:rPr>
          <w:rFonts w:ascii="Calibri" w:eastAsia="Calibri" w:hAnsi="Calibri" w:cs="Calibri"/>
        </w:rPr>
        <w:t>Tout comme la CRE, EDF partage que</w:t>
      </w:r>
      <w:r w:rsidR="5766BFA7" w:rsidRPr="0E9E275B">
        <w:rPr>
          <w:rFonts w:ascii="Calibri" w:eastAsia="Calibri" w:hAnsi="Calibri" w:cs="Calibri"/>
        </w:rPr>
        <w:t xml:space="preserve"> l</w:t>
      </w:r>
      <w:r w:rsidR="6EBC073A" w:rsidRPr="0E9E275B">
        <w:rPr>
          <w:rFonts w:ascii="Calibri" w:eastAsia="Calibri" w:hAnsi="Calibri" w:cs="Calibri"/>
        </w:rPr>
        <w:t xml:space="preserve">e coût du changement de compteur (521,78 € TTC), lorsqu’il restait à la charge du client, a pu effectivement constituer un frein à la souscription d’offres d’effacements indissociables de la fourniture. De plus, il </w:t>
      </w:r>
      <w:r w:rsidR="00124459">
        <w:rPr>
          <w:rFonts w:ascii="Calibri" w:eastAsia="Calibri" w:hAnsi="Calibri" w:cs="Calibri"/>
        </w:rPr>
        <w:t xml:space="preserve">est </w:t>
      </w:r>
      <w:r w:rsidR="6EBC073A" w:rsidRPr="0E9E275B">
        <w:rPr>
          <w:rFonts w:ascii="Calibri" w:eastAsia="Calibri" w:hAnsi="Calibri" w:cs="Calibri"/>
        </w:rPr>
        <w:t xml:space="preserve">compliqué pour </w:t>
      </w:r>
      <w:r w:rsidR="2F398B8E" w:rsidRPr="0E9E275B">
        <w:rPr>
          <w:rFonts w:ascii="Calibri" w:eastAsia="Calibri" w:hAnsi="Calibri" w:cs="Calibri"/>
        </w:rPr>
        <w:t>les équipes commerciales</w:t>
      </w:r>
      <w:r w:rsidR="6EBC073A" w:rsidRPr="0E9E275B">
        <w:rPr>
          <w:rFonts w:ascii="Calibri" w:eastAsia="Calibri" w:hAnsi="Calibri" w:cs="Calibri"/>
        </w:rPr>
        <w:t xml:space="preserve"> d’expliquer à un client multisites intéressé par de telles offres que, pour certains de </w:t>
      </w:r>
      <w:r w:rsidR="00124459">
        <w:rPr>
          <w:rFonts w:ascii="Calibri" w:eastAsia="Calibri" w:hAnsi="Calibri" w:cs="Calibri"/>
        </w:rPr>
        <w:t>s</w:t>
      </w:r>
      <w:r w:rsidR="6EBC073A" w:rsidRPr="0E9E275B">
        <w:rPr>
          <w:rFonts w:ascii="Calibri" w:eastAsia="Calibri" w:hAnsi="Calibri" w:cs="Calibri"/>
        </w:rPr>
        <w:t xml:space="preserve">es sites, le changement de compteur </w:t>
      </w:r>
      <w:r w:rsidR="00124459">
        <w:rPr>
          <w:rFonts w:ascii="Calibri" w:eastAsia="Calibri" w:hAnsi="Calibri" w:cs="Calibri"/>
        </w:rPr>
        <w:t>est</w:t>
      </w:r>
      <w:r w:rsidR="6EBC073A" w:rsidRPr="0E9E275B">
        <w:rPr>
          <w:rFonts w:ascii="Calibri" w:eastAsia="Calibri" w:hAnsi="Calibri" w:cs="Calibri"/>
        </w:rPr>
        <w:t xml:space="preserve"> payant </w:t>
      </w:r>
      <w:r w:rsidR="00124459">
        <w:rPr>
          <w:rFonts w:ascii="Calibri" w:eastAsia="Calibri" w:hAnsi="Calibri" w:cs="Calibri"/>
        </w:rPr>
        <w:t xml:space="preserve">et qu’il ne l’est pas </w:t>
      </w:r>
      <w:r w:rsidR="00124459" w:rsidRPr="0E9E275B">
        <w:rPr>
          <w:rFonts w:ascii="Calibri" w:eastAsia="Calibri" w:hAnsi="Calibri" w:cs="Calibri"/>
        </w:rPr>
        <w:t>pour</w:t>
      </w:r>
      <w:r w:rsidR="6EBC073A" w:rsidRPr="0E9E275B">
        <w:rPr>
          <w:rFonts w:ascii="Calibri" w:eastAsia="Calibri" w:hAnsi="Calibri" w:cs="Calibri"/>
        </w:rPr>
        <w:t xml:space="preserve"> d’autres.</w:t>
      </w:r>
      <w:r w:rsidR="00124459">
        <w:rPr>
          <w:rFonts w:ascii="Calibri" w:eastAsia="Calibri" w:hAnsi="Calibri" w:cs="Calibri"/>
        </w:rPr>
        <w:t xml:space="preserve"> EDF est donc particulièrement favorable </w:t>
      </w:r>
      <w:r w:rsidR="00124459">
        <w:rPr>
          <w:rFonts w:eastAsiaTheme="minorEastAsia"/>
        </w:rPr>
        <w:t xml:space="preserve">à </w:t>
      </w:r>
      <w:r w:rsidR="00124459" w:rsidRPr="0E9E275B">
        <w:rPr>
          <w:rFonts w:eastAsiaTheme="minorEastAsia"/>
        </w:rPr>
        <w:t>la prise en charge par le tarif d’utilisation du réseau public de distribution d’électricité des coûts relatifs au changement de compteur dans le cas précisé ici</w:t>
      </w:r>
      <w:r w:rsidR="00124459">
        <w:rPr>
          <w:rFonts w:eastAsiaTheme="minorEastAsia"/>
        </w:rPr>
        <w:t>,</w:t>
      </w:r>
      <w:r w:rsidR="00124459" w:rsidRPr="0E9E275B">
        <w:rPr>
          <w:rFonts w:eastAsiaTheme="minorEastAsia"/>
        </w:rPr>
        <w:t xml:space="preserve"> </w:t>
      </w:r>
      <w:r w:rsidR="00124459">
        <w:rPr>
          <w:rFonts w:eastAsiaTheme="minorEastAsia"/>
        </w:rPr>
        <w:t xml:space="preserve">comme exprimé précédemment </w:t>
      </w:r>
      <w:r w:rsidR="00124459" w:rsidRPr="0E9E275B">
        <w:rPr>
          <w:rFonts w:eastAsiaTheme="minorEastAsia"/>
        </w:rPr>
        <w:t xml:space="preserve"> </w:t>
      </w:r>
      <w:r w:rsidR="00124459" w:rsidRPr="0E9E275B">
        <w:rPr>
          <w:rFonts w:ascii="Calibri" w:eastAsia="Calibri" w:hAnsi="Calibri" w:cs="Calibri"/>
        </w:rPr>
        <w:t>lors du GT Procédures Electricité du 01/12/2023.</w:t>
      </w:r>
    </w:p>
    <w:p w14:paraId="50F67E8C" w14:textId="1CC6B7BB" w:rsidR="5E3BF87E" w:rsidRDefault="5E3BF87E" w:rsidP="5E3BF87E">
      <w:pPr>
        <w:jc w:val="both"/>
        <w:rPr>
          <w:rFonts w:eastAsiaTheme="minorEastAsia"/>
        </w:rPr>
      </w:pPr>
    </w:p>
    <w:p w14:paraId="1C81149A" w14:textId="594D16AD" w:rsidR="7947E36F" w:rsidRDefault="54CF0E20" w:rsidP="0E9E275B">
      <w:pPr>
        <w:jc w:val="both"/>
      </w:pPr>
      <w:r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>Question 6 : Etes-vous favorable à la prolongation de la prestation expérimentale « Analyse</w:t>
      </w:r>
      <w:r w:rsidR="3C1020DE"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 xml:space="preserve"> </w:t>
      </w:r>
      <w:r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>de la qualité d’alimentation électrique » ?</w:t>
      </w:r>
    </w:p>
    <w:p w14:paraId="2FBBA564" w14:textId="47F51EF1" w:rsidR="6E21C085" w:rsidRDefault="457F6C2F" w:rsidP="34196D7D">
      <w:pPr>
        <w:jc w:val="both"/>
        <w:rPr>
          <w:rFonts w:ascii="Calibri" w:eastAsia="Calibri" w:hAnsi="Calibri" w:cs="Calibri"/>
        </w:rPr>
      </w:pPr>
      <w:r w:rsidRPr="0E9E275B">
        <w:rPr>
          <w:rFonts w:eastAsiaTheme="minorEastAsia"/>
        </w:rPr>
        <w:t>EDF est favorable à la prolongation de la prestation expérimentale “Analyse de la qualité d’alimentation électrique”</w:t>
      </w:r>
      <w:r w:rsidR="70171BE4" w:rsidRPr="0E9E275B">
        <w:rPr>
          <w:rFonts w:ascii="Calibri" w:eastAsia="Calibri" w:hAnsi="Calibri" w:cs="Calibri"/>
        </w:rPr>
        <w:t xml:space="preserve">, afin de permettre à Enedis </w:t>
      </w:r>
      <w:r w:rsidR="00C57726">
        <w:rPr>
          <w:rFonts w:ascii="Calibri" w:eastAsia="Calibri" w:hAnsi="Calibri" w:cs="Calibri"/>
        </w:rPr>
        <w:t xml:space="preserve">de </w:t>
      </w:r>
      <w:r w:rsidR="70171BE4" w:rsidRPr="0E9E275B">
        <w:rPr>
          <w:rFonts w:ascii="Calibri" w:eastAsia="Calibri" w:hAnsi="Calibri" w:cs="Calibri"/>
        </w:rPr>
        <w:t>réaliser un retour d’expérience</w:t>
      </w:r>
      <w:r w:rsidR="003102D9">
        <w:rPr>
          <w:rFonts w:ascii="Calibri" w:eastAsia="Calibri" w:hAnsi="Calibri" w:cs="Calibri"/>
        </w:rPr>
        <w:t>.</w:t>
      </w:r>
      <w:r w:rsidR="70171BE4" w:rsidRPr="0E9E275B">
        <w:rPr>
          <w:rFonts w:ascii="Calibri" w:eastAsia="Calibri" w:hAnsi="Calibri" w:cs="Calibri"/>
        </w:rPr>
        <w:t xml:space="preserve"> </w:t>
      </w:r>
      <w:r w:rsidR="003102D9">
        <w:rPr>
          <w:rFonts w:ascii="Calibri" w:eastAsia="Calibri" w:hAnsi="Calibri" w:cs="Calibri"/>
        </w:rPr>
        <w:t>EDF est très favorable au partage de ce retour d’expérience avec les membres du GT Procédures</w:t>
      </w:r>
      <w:r w:rsidR="70171BE4" w:rsidRPr="0E9E275B">
        <w:rPr>
          <w:rFonts w:ascii="Calibri" w:eastAsia="Calibri" w:hAnsi="Calibri" w:cs="Calibri"/>
        </w:rPr>
        <w:t>.</w:t>
      </w:r>
    </w:p>
    <w:p w14:paraId="3C232557" w14:textId="4E9CCBCF" w:rsidR="5697D5BC" w:rsidRDefault="5697D5BC" w:rsidP="0E9E275B">
      <w:pPr>
        <w:jc w:val="both"/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</w:pPr>
    </w:p>
    <w:p w14:paraId="7C89ABCB" w14:textId="21AC898C" w:rsidR="7947E36F" w:rsidRDefault="54CF0E20" w:rsidP="0E9E275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E9E275B">
        <w:rPr>
          <w:rFonts w:ascii="Arial" w:hAnsi="Arial" w:cs="Arial"/>
          <w:b/>
          <w:bCs/>
          <w:sz w:val="20"/>
          <w:szCs w:val="20"/>
        </w:rPr>
        <w:t>Evolution des prestations annexes relatives aux responsables d’équilibre</w:t>
      </w:r>
    </w:p>
    <w:p w14:paraId="0D68F690" w14:textId="105CE3FF" w:rsidR="5697D5BC" w:rsidRDefault="5697D5BC" w:rsidP="0E9E275B">
      <w:pPr>
        <w:jc w:val="both"/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</w:pPr>
    </w:p>
    <w:p w14:paraId="3DFB1CF8" w14:textId="32BDFC35" w:rsidR="7947E36F" w:rsidRDefault="54CF0E20" w:rsidP="0E9E275B">
      <w:pPr>
        <w:jc w:val="both"/>
      </w:pPr>
      <w:r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>Question 7 : Etes-vous favorable à l’évolution de la prestation « Accès à la plateforme Services</w:t>
      </w:r>
      <w:r w:rsidR="0DD40D21"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 xml:space="preserve"> </w:t>
      </w:r>
      <w:r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>aux Responsables d’Equilibre » ?</w:t>
      </w:r>
    </w:p>
    <w:p w14:paraId="396BBBE1" w14:textId="3C2DFAC1" w:rsidR="5697D5BC" w:rsidRDefault="38AED530" w:rsidP="5E3BF87E">
      <w:pPr>
        <w:jc w:val="both"/>
        <w:rPr>
          <w:rFonts w:eastAsiaTheme="minorEastAsia"/>
        </w:rPr>
      </w:pPr>
      <w:r w:rsidRPr="5E3BF87E">
        <w:rPr>
          <w:rFonts w:eastAsiaTheme="minorEastAsia"/>
        </w:rPr>
        <w:t xml:space="preserve">EDF est favorable à l’évolution de la prestation </w:t>
      </w:r>
      <w:r w:rsidR="38DCD482" w:rsidRPr="5E3BF87E">
        <w:rPr>
          <w:rFonts w:eastAsiaTheme="minorEastAsia"/>
        </w:rPr>
        <w:t>“Accès à la plateforme Services aux Responsables d’Equilibre</w:t>
      </w:r>
      <w:r w:rsidRPr="5E3BF87E">
        <w:rPr>
          <w:rFonts w:eastAsiaTheme="minorEastAsia"/>
        </w:rPr>
        <w:t>”</w:t>
      </w:r>
      <w:r w:rsidR="00C57726">
        <w:rPr>
          <w:rFonts w:eastAsiaTheme="minorEastAsia"/>
        </w:rPr>
        <w:t xml:space="preserve"> et a d’ores et déjà souscrit à ce service.</w:t>
      </w:r>
      <w:r w:rsidR="0050535F">
        <w:rPr>
          <w:rFonts w:eastAsiaTheme="minorEastAsia"/>
        </w:rPr>
        <w:t xml:space="preserve"> </w:t>
      </w:r>
    </w:p>
    <w:p w14:paraId="15C8D3C7" w14:textId="299716BA" w:rsidR="5697D5BC" w:rsidRDefault="5697D5BC" w:rsidP="0E9E275B">
      <w:pPr>
        <w:jc w:val="both"/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</w:pPr>
    </w:p>
    <w:p w14:paraId="32385D8F" w14:textId="3FB0B8A8" w:rsidR="7947E36F" w:rsidRDefault="7324D9DA" w:rsidP="0E9E275B">
      <w:pPr>
        <w:jc w:val="both"/>
      </w:pPr>
      <w:r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>Q</w:t>
      </w:r>
      <w:r w:rsidR="54CF0E20"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>uestion 8 : Etes-vous favorable à l’inscription de la liste des jeux de données proposés sur</w:t>
      </w:r>
      <w:r w:rsidR="1F68880D"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 xml:space="preserve"> </w:t>
      </w:r>
      <w:r w:rsidR="54CF0E20" w:rsidRPr="0E9E275B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>la plateforme dans l’annexe du catalogue de prestations pour les RE ?</w:t>
      </w:r>
    </w:p>
    <w:p w14:paraId="4EB6C1D8" w14:textId="4D5BC279" w:rsidR="7AD128F3" w:rsidRDefault="57D079CE" w:rsidP="0E9E275B">
      <w:pPr>
        <w:jc w:val="both"/>
        <w:rPr>
          <w:rFonts w:eastAsiaTheme="minorEastAsia"/>
        </w:rPr>
      </w:pPr>
      <w:r w:rsidRPr="0E9E275B">
        <w:rPr>
          <w:rFonts w:eastAsiaTheme="minorEastAsia"/>
        </w:rPr>
        <w:t>EDF est favorable à l’inscription</w:t>
      </w:r>
      <w:r w:rsidR="25259086" w:rsidRPr="0E9E275B">
        <w:rPr>
          <w:rFonts w:eastAsiaTheme="minorEastAsia"/>
        </w:rPr>
        <w:t xml:space="preserve"> de la liste des jeux de données proposés sur la plateforme dans l’annexe du catalogue de prestations pour les RE</w:t>
      </w:r>
      <w:r w:rsidR="0050535F">
        <w:rPr>
          <w:rFonts w:eastAsiaTheme="minorEastAsia"/>
        </w:rPr>
        <w:t>, ce qui offre à tous une visibilité accrue.</w:t>
      </w:r>
    </w:p>
    <w:p w14:paraId="1C423EB3" w14:textId="3292D912" w:rsidR="5E3BF87E" w:rsidRDefault="5E3BF87E" w:rsidP="0E9E275B">
      <w:pPr>
        <w:jc w:val="both"/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</w:pPr>
    </w:p>
    <w:sectPr w:rsidR="5E3BF87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AC2C2" w14:textId="77777777" w:rsidR="00AD4956" w:rsidRDefault="00AD4956" w:rsidP="00C35AE9">
      <w:pPr>
        <w:spacing w:after="0" w:line="240" w:lineRule="auto"/>
      </w:pPr>
      <w:r>
        <w:separator/>
      </w:r>
    </w:p>
  </w:endnote>
  <w:endnote w:type="continuationSeparator" w:id="0">
    <w:p w14:paraId="3156C3E0" w14:textId="77777777" w:rsidR="00AD4956" w:rsidRDefault="00AD4956" w:rsidP="00C35AE9">
      <w:pPr>
        <w:spacing w:after="0" w:line="240" w:lineRule="auto"/>
      </w:pPr>
      <w:r>
        <w:continuationSeparator/>
      </w:r>
    </w:p>
  </w:endnote>
  <w:endnote w:type="continuationNotice" w:id="1">
    <w:p w14:paraId="24CDA1F8" w14:textId="77777777" w:rsidR="00AD4956" w:rsidRDefault="00AD49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Roman">
    <w:panose1 w:val="020B0600030504020204"/>
    <w:charset w:val="00"/>
    <w:family w:val="swiss"/>
    <w:pitch w:val="variable"/>
    <w:sig w:usb0="80000027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2523536"/>
      <w:docPartObj>
        <w:docPartGallery w:val="Page Numbers (Bottom of Page)"/>
        <w:docPartUnique/>
      </w:docPartObj>
    </w:sdtPr>
    <w:sdtContent>
      <w:p w14:paraId="16470982" w14:textId="67648087" w:rsidR="00521877" w:rsidRDefault="00521877" w:rsidP="0052187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8F050F" w14:textId="20525ECC" w:rsidR="00521877" w:rsidRDefault="00521877">
    <w:pPr>
      <w:pStyle w:val="Pieddepage"/>
    </w:pPr>
    <w:r>
      <w:t>C2 Limité – Transfert interdit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4C6C6" w14:textId="77777777" w:rsidR="00AD4956" w:rsidRDefault="00AD4956" w:rsidP="00C35AE9">
      <w:pPr>
        <w:spacing w:after="0" w:line="240" w:lineRule="auto"/>
      </w:pPr>
      <w:r>
        <w:separator/>
      </w:r>
    </w:p>
  </w:footnote>
  <w:footnote w:type="continuationSeparator" w:id="0">
    <w:p w14:paraId="440C9EC1" w14:textId="77777777" w:rsidR="00AD4956" w:rsidRDefault="00AD4956" w:rsidP="00C35AE9">
      <w:pPr>
        <w:spacing w:after="0" w:line="240" w:lineRule="auto"/>
      </w:pPr>
      <w:r>
        <w:continuationSeparator/>
      </w:r>
    </w:p>
  </w:footnote>
  <w:footnote w:type="continuationNotice" w:id="1">
    <w:p w14:paraId="4F9125A3" w14:textId="77777777" w:rsidR="00AD4956" w:rsidRDefault="00AD4956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FDD"/>
    <w:rsid w:val="0001312E"/>
    <w:rsid w:val="000250B9"/>
    <w:rsid w:val="000771A0"/>
    <w:rsid w:val="0009191C"/>
    <w:rsid w:val="00124459"/>
    <w:rsid w:val="001C6C2D"/>
    <w:rsid w:val="001D0B3A"/>
    <w:rsid w:val="00215AB4"/>
    <w:rsid w:val="00227C44"/>
    <w:rsid w:val="003102D9"/>
    <w:rsid w:val="00310831"/>
    <w:rsid w:val="00324C3D"/>
    <w:rsid w:val="0045262B"/>
    <w:rsid w:val="004A52EB"/>
    <w:rsid w:val="0050535F"/>
    <w:rsid w:val="00521877"/>
    <w:rsid w:val="00536EF6"/>
    <w:rsid w:val="005C4505"/>
    <w:rsid w:val="00651278"/>
    <w:rsid w:val="00731D64"/>
    <w:rsid w:val="00752D90"/>
    <w:rsid w:val="007C5DFE"/>
    <w:rsid w:val="00871C46"/>
    <w:rsid w:val="0088698A"/>
    <w:rsid w:val="00887EA7"/>
    <w:rsid w:val="008D3CCD"/>
    <w:rsid w:val="009164A2"/>
    <w:rsid w:val="00A07142"/>
    <w:rsid w:val="00A750C6"/>
    <w:rsid w:val="00AD4956"/>
    <w:rsid w:val="00B2188F"/>
    <w:rsid w:val="00B31B79"/>
    <w:rsid w:val="00B67BD6"/>
    <w:rsid w:val="00B97A1A"/>
    <w:rsid w:val="00C35AE9"/>
    <w:rsid w:val="00C4138B"/>
    <w:rsid w:val="00C57726"/>
    <w:rsid w:val="00C665D2"/>
    <w:rsid w:val="00C82411"/>
    <w:rsid w:val="00CC4FDD"/>
    <w:rsid w:val="00CF6084"/>
    <w:rsid w:val="00D6219C"/>
    <w:rsid w:val="00E048EA"/>
    <w:rsid w:val="00E05C1B"/>
    <w:rsid w:val="00F6478F"/>
    <w:rsid w:val="00FB09D8"/>
    <w:rsid w:val="035BEBB0"/>
    <w:rsid w:val="03865784"/>
    <w:rsid w:val="038C3DBA"/>
    <w:rsid w:val="0558BF7B"/>
    <w:rsid w:val="05993B1E"/>
    <w:rsid w:val="05CC6450"/>
    <w:rsid w:val="05D2198C"/>
    <w:rsid w:val="05DD9F27"/>
    <w:rsid w:val="05F64942"/>
    <w:rsid w:val="064936E6"/>
    <w:rsid w:val="07F9EEDF"/>
    <w:rsid w:val="091E0B61"/>
    <w:rsid w:val="0B5B61AC"/>
    <w:rsid w:val="0C354EE7"/>
    <w:rsid w:val="0C4E1A03"/>
    <w:rsid w:val="0C57F108"/>
    <w:rsid w:val="0CAC0C7B"/>
    <w:rsid w:val="0CEA3F07"/>
    <w:rsid w:val="0D8C5828"/>
    <w:rsid w:val="0D9624DD"/>
    <w:rsid w:val="0DD40D21"/>
    <w:rsid w:val="0E9E275B"/>
    <w:rsid w:val="0EB8EDDA"/>
    <w:rsid w:val="0EBFCEF7"/>
    <w:rsid w:val="0EFB476F"/>
    <w:rsid w:val="0FA927B2"/>
    <w:rsid w:val="102E8814"/>
    <w:rsid w:val="10493798"/>
    <w:rsid w:val="10DED386"/>
    <w:rsid w:val="11832E63"/>
    <w:rsid w:val="11CE9EC3"/>
    <w:rsid w:val="11E243B5"/>
    <w:rsid w:val="1202D994"/>
    <w:rsid w:val="1212050F"/>
    <w:rsid w:val="12DD4395"/>
    <w:rsid w:val="1370797C"/>
    <w:rsid w:val="149CD666"/>
    <w:rsid w:val="1706244C"/>
    <w:rsid w:val="1874237A"/>
    <w:rsid w:val="18BFB7C1"/>
    <w:rsid w:val="192BE986"/>
    <w:rsid w:val="1A8C7218"/>
    <w:rsid w:val="1C8DD6DD"/>
    <w:rsid w:val="1D706E2E"/>
    <w:rsid w:val="1DA2E2B3"/>
    <w:rsid w:val="1DED99FF"/>
    <w:rsid w:val="1E7EFD99"/>
    <w:rsid w:val="1F68880D"/>
    <w:rsid w:val="21253AC1"/>
    <w:rsid w:val="220B6027"/>
    <w:rsid w:val="2275ED15"/>
    <w:rsid w:val="239BA5B8"/>
    <w:rsid w:val="25259086"/>
    <w:rsid w:val="25BDE4AB"/>
    <w:rsid w:val="27495E38"/>
    <w:rsid w:val="2750AFF8"/>
    <w:rsid w:val="27BB8A36"/>
    <w:rsid w:val="28F84C6A"/>
    <w:rsid w:val="296D9943"/>
    <w:rsid w:val="29789AB2"/>
    <w:rsid w:val="29A6DF8B"/>
    <w:rsid w:val="2A240F99"/>
    <w:rsid w:val="2AEC3F7F"/>
    <w:rsid w:val="2AFEAA2F"/>
    <w:rsid w:val="2CDD282F"/>
    <w:rsid w:val="2DABDC81"/>
    <w:rsid w:val="2E172E39"/>
    <w:rsid w:val="2F398B8E"/>
    <w:rsid w:val="2FA01AA7"/>
    <w:rsid w:val="337FD3D2"/>
    <w:rsid w:val="338B5D8D"/>
    <w:rsid w:val="33E2C794"/>
    <w:rsid w:val="34186F2F"/>
    <w:rsid w:val="34196D7D"/>
    <w:rsid w:val="357BB6F2"/>
    <w:rsid w:val="359567D3"/>
    <w:rsid w:val="3608DB61"/>
    <w:rsid w:val="37742993"/>
    <w:rsid w:val="38AED530"/>
    <w:rsid w:val="38DCD482"/>
    <w:rsid w:val="392753C6"/>
    <w:rsid w:val="39AC5B4A"/>
    <w:rsid w:val="39F1F3F1"/>
    <w:rsid w:val="3C1020DE"/>
    <w:rsid w:val="3CADBD15"/>
    <w:rsid w:val="3E6701E8"/>
    <w:rsid w:val="3EDA2D09"/>
    <w:rsid w:val="3F064E78"/>
    <w:rsid w:val="3F27986B"/>
    <w:rsid w:val="3F5AD407"/>
    <w:rsid w:val="3FBCBC22"/>
    <w:rsid w:val="40D17607"/>
    <w:rsid w:val="4226D94C"/>
    <w:rsid w:val="4329EABB"/>
    <w:rsid w:val="442E452A"/>
    <w:rsid w:val="44AEEF78"/>
    <w:rsid w:val="44D0AB01"/>
    <w:rsid w:val="45276B52"/>
    <w:rsid w:val="457F6C2F"/>
    <w:rsid w:val="467594C5"/>
    <w:rsid w:val="476DD37F"/>
    <w:rsid w:val="47810002"/>
    <w:rsid w:val="479E37F7"/>
    <w:rsid w:val="47A994B5"/>
    <w:rsid w:val="47B0207A"/>
    <w:rsid w:val="47C931E3"/>
    <w:rsid w:val="48F1D063"/>
    <w:rsid w:val="4951E528"/>
    <w:rsid w:val="4996F488"/>
    <w:rsid w:val="49C3C540"/>
    <w:rsid w:val="4AA2C4F9"/>
    <w:rsid w:val="4C202EB2"/>
    <w:rsid w:val="4C83919D"/>
    <w:rsid w:val="4CE5608C"/>
    <w:rsid w:val="4DF52450"/>
    <w:rsid w:val="4E036FFD"/>
    <w:rsid w:val="4E4375DB"/>
    <w:rsid w:val="4EFFF0E1"/>
    <w:rsid w:val="4FC88DA9"/>
    <w:rsid w:val="5014CB77"/>
    <w:rsid w:val="5112BD0B"/>
    <w:rsid w:val="517CE528"/>
    <w:rsid w:val="52AE8D6C"/>
    <w:rsid w:val="53B512CB"/>
    <w:rsid w:val="54A770D5"/>
    <w:rsid w:val="54CF0E20"/>
    <w:rsid w:val="56290394"/>
    <w:rsid w:val="564A0EF6"/>
    <w:rsid w:val="5671F72B"/>
    <w:rsid w:val="5697D5BC"/>
    <w:rsid w:val="5766BFA7"/>
    <w:rsid w:val="57D079CE"/>
    <w:rsid w:val="594EE095"/>
    <w:rsid w:val="598721B1"/>
    <w:rsid w:val="59940A55"/>
    <w:rsid w:val="59A3E6F6"/>
    <w:rsid w:val="59A6025D"/>
    <w:rsid w:val="5AA076F4"/>
    <w:rsid w:val="5AF75941"/>
    <w:rsid w:val="5B035B11"/>
    <w:rsid w:val="5B2F3252"/>
    <w:rsid w:val="5C1B20F7"/>
    <w:rsid w:val="5C7264D1"/>
    <w:rsid w:val="5D095F39"/>
    <w:rsid w:val="5D1FFD7D"/>
    <w:rsid w:val="5D335246"/>
    <w:rsid w:val="5E029005"/>
    <w:rsid w:val="5E3BF87E"/>
    <w:rsid w:val="5E699A11"/>
    <w:rsid w:val="5E7934B8"/>
    <w:rsid w:val="5F6FF535"/>
    <w:rsid w:val="5FFDB378"/>
    <w:rsid w:val="612170F6"/>
    <w:rsid w:val="6229DB89"/>
    <w:rsid w:val="62B279DD"/>
    <w:rsid w:val="63F76F35"/>
    <w:rsid w:val="641DD09F"/>
    <w:rsid w:val="6573BA4D"/>
    <w:rsid w:val="666F99DA"/>
    <w:rsid w:val="667E1D8B"/>
    <w:rsid w:val="67DC680E"/>
    <w:rsid w:val="68B1F1D6"/>
    <w:rsid w:val="69979187"/>
    <w:rsid w:val="69C3D4E5"/>
    <w:rsid w:val="6BBEA187"/>
    <w:rsid w:val="6BF497B3"/>
    <w:rsid w:val="6C0D41CE"/>
    <w:rsid w:val="6E21C085"/>
    <w:rsid w:val="6E9C3DAA"/>
    <w:rsid w:val="6EBC073A"/>
    <w:rsid w:val="70171BE4"/>
    <w:rsid w:val="71785EDB"/>
    <w:rsid w:val="7190ADE5"/>
    <w:rsid w:val="71AF4BB7"/>
    <w:rsid w:val="7246E493"/>
    <w:rsid w:val="7324D9DA"/>
    <w:rsid w:val="73D99041"/>
    <w:rsid w:val="742BAAFB"/>
    <w:rsid w:val="74D3B869"/>
    <w:rsid w:val="74E6785B"/>
    <w:rsid w:val="75512635"/>
    <w:rsid w:val="75F77DA5"/>
    <w:rsid w:val="76D5E0A8"/>
    <w:rsid w:val="779F1935"/>
    <w:rsid w:val="77C540D0"/>
    <w:rsid w:val="78B09114"/>
    <w:rsid w:val="7947E36F"/>
    <w:rsid w:val="7AD128F3"/>
    <w:rsid w:val="7B6C2603"/>
    <w:rsid w:val="7C22E092"/>
    <w:rsid w:val="7E672C20"/>
    <w:rsid w:val="7F8EC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40ECBE"/>
  <w15:chartTrackingRefBased/>
  <w15:docId w15:val="{89E15D2C-69ED-4AC3-8E69-CFD9672FD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52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2D90"/>
  </w:style>
  <w:style w:type="paragraph" w:styleId="Pieddepage">
    <w:name w:val="footer"/>
    <w:basedOn w:val="Normal"/>
    <w:link w:val="PieddepageCar"/>
    <w:uiPriority w:val="99"/>
    <w:unhideWhenUsed/>
    <w:rsid w:val="00752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2D90"/>
  </w:style>
  <w:style w:type="paragraph" w:styleId="Rvision">
    <w:name w:val="Revision"/>
    <w:hidden/>
    <w:uiPriority w:val="99"/>
    <w:semiHidden/>
    <w:rsid w:val="0001312E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0250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250B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250B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250B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250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1167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LAGUERRE Bernard</dc:creator>
  <cp:keywords/>
  <dc:description/>
  <cp:lastModifiedBy>DUFRENE Mathieu</cp:lastModifiedBy>
  <cp:revision>4</cp:revision>
  <dcterms:created xsi:type="dcterms:W3CDTF">2024-05-15T13:23:00Z</dcterms:created>
  <dcterms:modified xsi:type="dcterms:W3CDTF">2024-05-15T14:49:00Z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d26f538-337a-4593-a7e6-123667b1a538_Enabled">
    <vt:lpwstr>true</vt:lpwstr>
  </property>
  <property fmtid="{D5CDD505-2E9C-101B-9397-08002B2CF9AE}" pid="3" name="MSIP_Label_2d26f538-337a-4593-a7e6-123667b1a538_SetDate">
    <vt:lpwstr>2024-04-25T16:03:37Z</vt:lpwstr>
  </property>
  <property fmtid="{D5CDD505-2E9C-101B-9397-08002B2CF9AE}" pid="4" name="MSIP_Label_2d26f538-337a-4593-a7e6-123667b1a538_Method">
    <vt:lpwstr>Standard</vt:lpwstr>
  </property>
  <property fmtid="{D5CDD505-2E9C-101B-9397-08002B2CF9AE}" pid="5" name="MSIP_Label_2d26f538-337a-4593-a7e6-123667b1a538_Name">
    <vt:lpwstr>C1 Interne</vt:lpwstr>
  </property>
  <property fmtid="{D5CDD505-2E9C-101B-9397-08002B2CF9AE}" pid="6" name="MSIP_Label_2d26f538-337a-4593-a7e6-123667b1a538_SiteId">
    <vt:lpwstr>e242425b-70fc-44dc-9ddf-c21e304e6c80</vt:lpwstr>
  </property>
  <property fmtid="{D5CDD505-2E9C-101B-9397-08002B2CF9AE}" pid="7" name="MSIP_Label_2d26f538-337a-4593-a7e6-123667b1a538_ActionId">
    <vt:lpwstr>75c50b5f-65e4-424a-b531-20e950fea664</vt:lpwstr>
  </property>
  <property fmtid="{D5CDD505-2E9C-101B-9397-08002B2CF9AE}" pid="8" name="MSIP_Label_2d26f538-337a-4593-a7e6-123667b1a538_ContentBits">
    <vt:lpwstr>0</vt:lpwstr>
  </property>
</Properties>
</file>