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A58" w:rsidRDefault="00066A58"/>
    <w:p w:rsidR="001E63DC" w:rsidRDefault="00341374">
      <w:r w:rsidRPr="00BE7CF6">
        <w:rPr>
          <w:rFonts w:ascii="Arial" w:hAnsi="Arial" w:cs="Arial"/>
          <w:noProof/>
          <w:sz w:val="18"/>
          <w:szCs w:val="20"/>
          <w:lang w:eastAsia="fr-FR"/>
        </w:rPr>
        <w:drawing>
          <wp:anchor distT="0" distB="0" distL="114300" distR="114300" simplePos="0" relativeHeight="251659264" behindDoc="1" locked="0" layoutInCell="1" allowOverlap="1" wp14:anchorId="0AFABE68" wp14:editId="50675F37">
            <wp:simplePos x="0" y="0"/>
            <wp:positionH relativeFrom="column">
              <wp:posOffset>-53975</wp:posOffset>
            </wp:positionH>
            <wp:positionV relativeFrom="paragraph">
              <wp:posOffset>-438150</wp:posOffset>
            </wp:positionV>
            <wp:extent cx="1649232" cy="998220"/>
            <wp:effectExtent l="0" t="0" r="8255" b="0"/>
            <wp:wrapNone/>
            <wp:docPr id="1" name="Image 1" descr="http://www.afgaz.fr/site/images/h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fgaz.fr/site/images/hp/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49835" cy="998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63DC" w:rsidRDefault="001E63DC"/>
    <w:p w:rsidR="001E63DC" w:rsidRPr="00341374" w:rsidRDefault="001E63DC" w:rsidP="001E63DC">
      <w:pPr>
        <w:jc w:val="center"/>
        <w:rPr>
          <w:b/>
          <w:sz w:val="24"/>
          <w:szCs w:val="24"/>
        </w:rPr>
      </w:pPr>
    </w:p>
    <w:p w:rsidR="001E63DC" w:rsidRDefault="001E63DC" w:rsidP="00341374">
      <w:pPr>
        <w:pBdr>
          <w:top w:val="single" w:sz="4" w:space="1" w:color="auto"/>
          <w:left w:val="single" w:sz="4" w:space="4" w:color="auto"/>
          <w:bottom w:val="single" w:sz="4" w:space="1" w:color="auto"/>
          <w:right w:val="single" w:sz="4" w:space="4" w:color="auto"/>
        </w:pBdr>
        <w:jc w:val="center"/>
        <w:rPr>
          <w:rFonts w:ascii="Segoe UI" w:hAnsi="Segoe UI" w:cs="Segoe UI"/>
          <w:b/>
          <w:sz w:val="24"/>
          <w:szCs w:val="24"/>
        </w:rPr>
      </w:pPr>
      <w:r w:rsidRPr="00341374">
        <w:rPr>
          <w:rFonts w:ascii="Segoe UI" w:hAnsi="Segoe UI" w:cs="Segoe UI"/>
          <w:b/>
          <w:sz w:val="24"/>
          <w:szCs w:val="24"/>
        </w:rPr>
        <w:t>Consultation publique de la Commission de régulation de l’énergie relative aux modalités d’accès à la zone desservie e</w:t>
      </w:r>
      <w:r w:rsidR="001E40E2">
        <w:rPr>
          <w:rFonts w:ascii="Segoe UI" w:hAnsi="Segoe UI" w:cs="Segoe UI"/>
          <w:b/>
          <w:sz w:val="24"/>
          <w:szCs w:val="24"/>
        </w:rPr>
        <w:t>n gaz à bas pouvoir calorifique</w:t>
      </w:r>
    </w:p>
    <w:p w:rsidR="001E40E2" w:rsidRPr="00341374" w:rsidRDefault="001E40E2" w:rsidP="001E40E2">
      <w:pPr>
        <w:pBdr>
          <w:top w:val="single" w:sz="4" w:space="1" w:color="auto"/>
          <w:left w:val="single" w:sz="4" w:space="4" w:color="auto"/>
          <w:bottom w:val="single" w:sz="4" w:space="1" w:color="auto"/>
          <w:right w:val="single" w:sz="4" w:space="4" w:color="auto"/>
        </w:pBdr>
        <w:jc w:val="center"/>
        <w:rPr>
          <w:rFonts w:ascii="Segoe UI" w:hAnsi="Segoe UI" w:cs="Segoe UI"/>
          <w:b/>
          <w:sz w:val="24"/>
          <w:szCs w:val="24"/>
        </w:rPr>
      </w:pPr>
      <w:r>
        <w:rPr>
          <w:rFonts w:ascii="Segoe UI" w:hAnsi="Segoe UI" w:cs="Segoe UI"/>
          <w:b/>
          <w:sz w:val="24"/>
          <w:szCs w:val="24"/>
        </w:rPr>
        <w:t xml:space="preserve">Réponse de l’Association Française du Gaz </w:t>
      </w:r>
    </w:p>
    <w:p w:rsidR="003176C1" w:rsidRPr="001E40E2" w:rsidRDefault="0099324A" w:rsidP="001E63DC">
      <w:pPr>
        <w:rPr>
          <w:rFonts w:ascii="Segoe UI" w:hAnsi="Segoe UI" w:cs="Segoe UI"/>
          <w:i/>
        </w:rPr>
      </w:pPr>
      <w:r w:rsidRPr="001E40E2">
        <w:rPr>
          <w:rFonts w:ascii="Segoe UI" w:hAnsi="Segoe UI" w:cs="Segoe UI"/>
          <w:i/>
        </w:rPr>
        <w:t xml:space="preserve">Version </w:t>
      </w:r>
      <w:r w:rsidR="001E40E2" w:rsidRPr="001E40E2">
        <w:rPr>
          <w:rFonts w:ascii="Segoe UI" w:hAnsi="Segoe UI" w:cs="Segoe UI"/>
          <w:i/>
        </w:rPr>
        <w:t>finale – le 23 novembre 2018</w:t>
      </w:r>
    </w:p>
    <w:p w:rsidR="003176C1" w:rsidRPr="00341374" w:rsidRDefault="003176C1" w:rsidP="001E63DC">
      <w:pPr>
        <w:rPr>
          <w:rFonts w:ascii="Segoe UI" w:hAnsi="Segoe UI" w:cs="Segoe UI"/>
          <w:b/>
        </w:rPr>
      </w:pPr>
    </w:p>
    <w:p w:rsidR="003176C1" w:rsidRPr="00341374" w:rsidRDefault="003176C1" w:rsidP="00341374">
      <w:pPr>
        <w:jc w:val="both"/>
        <w:rPr>
          <w:rFonts w:ascii="Segoe UI" w:hAnsi="Segoe UI" w:cs="Segoe UI"/>
          <w:b/>
        </w:rPr>
      </w:pPr>
      <w:r w:rsidRPr="00341374">
        <w:rPr>
          <w:rFonts w:ascii="Segoe UI" w:hAnsi="Segoe UI" w:cs="Segoe UI"/>
          <w:b/>
        </w:rPr>
        <w:t>Question 1 : Partagez-vous le bilan po</w:t>
      </w:r>
      <w:r w:rsidR="00341374">
        <w:rPr>
          <w:rFonts w:ascii="Segoe UI" w:hAnsi="Segoe UI" w:cs="Segoe UI"/>
          <w:b/>
        </w:rPr>
        <w:t>sitif de la CRE s</w:t>
      </w:r>
      <w:r w:rsidRPr="00341374">
        <w:rPr>
          <w:rFonts w:ascii="Segoe UI" w:hAnsi="Segoe UI" w:cs="Segoe UI"/>
          <w:b/>
        </w:rPr>
        <w:t>ur les règles d</w:t>
      </w:r>
      <w:r w:rsidR="008F289F">
        <w:rPr>
          <w:rFonts w:ascii="Segoe UI" w:hAnsi="Segoe UI" w:cs="Segoe UI"/>
          <w:b/>
        </w:rPr>
        <w:t xml:space="preserve">’accès </w:t>
      </w:r>
      <w:r w:rsidRPr="00341374">
        <w:rPr>
          <w:rFonts w:ascii="Segoe UI" w:hAnsi="Segoe UI" w:cs="Segoe UI"/>
          <w:b/>
        </w:rPr>
        <w:t>à la zone B depuis 2013 ?</w:t>
      </w:r>
    </w:p>
    <w:p w:rsidR="003176C1" w:rsidRPr="00341374" w:rsidRDefault="003176C1" w:rsidP="00341374">
      <w:pPr>
        <w:jc w:val="both"/>
        <w:rPr>
          <w:rFonts w:ascii="Segoe UI" w:hAnsi="Segoe UI" w:cs="Segoe UI"/>
        </w:rPr>
      </w:pPr>
      <w:r w:rsidRPr="00341374">
        <w:rPr>
          <w:rFonts w:ascii="Segoe UI" w:hAnsi="Segoe UI" w:cs="Segoe UI"/>
        </w:rPr>
        <w:t>L</w:t>
      </w:r>
      <w:r w:rsidR="008F289F">
        <w:rPr>
          <w:rFonts w:ascii="Segoe UI" w:hAnsi="Segoe UI" w:cs="Segoe UI"/>
        </w:rPr>
        <w:t xml:space="preserve">’alimentation </w:t>
      </w:r>
      <w:r w:rsidRPr="00341374">
        <w:rPr>
          <w:rFonts w:ascii="Segoe UI" w:hAnsi="Segoe UI" w:cs="Segoe UI"/>
        </w:rPr>
        <w:t xml:space="preserve">de la zone </w:t>
      </w:r>
      <w:r w:rsidR="00341374">
        <w:rPr>
          <w:rFonts w:ascii="Segoe UI" w:hAnsi="Segoe UI" w:cs="Segoe UI"/>
        </w:rPr>
        <w:t xml:space="preserve">B </w:t>
      </w:r>
      <w:r w:rsidRPr="00341374">
        <w:rPr>
          <w:rFonts w:ascii="Segoe UI" w:hAnsi="Segoe UI" w:cs="Segoe UI"/>
        </w:rPr>
        <w:t xml:space="preserve">est un enjeu primordial en matière de sécurité d’approvisionnement et de continuité de fourniture des clients. Le schéma d’approvisionnement ainsi que les règles d’accès des tiers retenus depuis 2013 ont donné satisfaction aux adhérents de l’AFG qu’ils soient fournisseurs ou opérateurs d’infrastructures. </w:t>
      </w:r>
    </w:p>
    <w:p w:rsidR="003176C1" w:rsidRPr="00341374" w:rsidRDefault="003176C1" w:rsidP="00341374">
      <w:pPr>
        <w:jc w:val="both"/>
        <w:rPr>
          <w:rFonts w:ascii="Segoe UI" w:hAnsi="Segoe UI" w:cs="Segoe UI"/>
        </w:rPr>
      </w:pPr>
    </w:p>
    <w:p w:rsidR="003176C1" w:rsidRPr="00341374" w:rsidRDefault="003176C1" w:rsidP="00341374">
      <w:pPr>
        <w:jc w:val="both"/>
        <w:rPr>
          <w:rFonts w:ascii="Segoe UI" w:hAnsi="Segoe UI" w:cs="Segoe UI"/>
          <w:b/>
        </w:rPr>
      </w:pPr>
      <w:r w:rsidRPr="00341374">
        <w:rPr>
          <w:rFonts w:ascii="Segoe UI" w:hAnsi="Segoe UI" w:cs="Segoe UI"/>
          <w:b/>
        </w:rPr>
        <w:t xml:space="preserve">Question 2 : Etes-vous favorables au fonctionnement des zones H et B tel qu’envisagé par la CRE ? Voyez-vous des solutions alternatives permettant le maintien de la fusion des zones H et B au-delà  de 2023 ? </w:t>
      </w:r>
    </w:p>
    <w:p w:rsidR="00132351" w:rsidRPr="001E40E2" w:rsidRDefault="00132351" w:rsidP="00132351">
      <w:pPr>
        <w:jc w:val="both"/>
        <w:rPr>
          <w:rFonts w:ascii="Segoe UI" w:hAnsi="Segoe UI" w:cs="Segoe UI"/>
        </w:rPr>
      </w:pPr>
      <w:r w:rsidRPr="001E40E2">
        <w:rPr>
          <w:rFonts w:ascii="Segoe UI" w:hAnsi="Segoe UI" w:cs="Segoe UI"/>
        </w:rPr>
        <w:t xml:space="preserve">Il est indispensable de garantir une continuité d’acheminement en gaz B et de maintenir un accès concurrentiel à la zone jusqu’en 2029, dans cette période de conversion complexe et contrainte. </w:t>
      </w:r>
    </w:p>
    <w:p w:rsidR="00132351" w:rsidRPr="001E40E2" w:rsidRDefault="00132351" w:rsidP="00132351">
      <w:pPr>
        <w:jc w:val="both"/>
        <w:rPr>
          <w:rFonts w:ascii="Segoe UI" w:hAnsi="Segoe UI" w:cs="Segoe UI"/>
        </w:rPr>
      </w:pPr>
      <w:r w:rsidRPr="001E40E2">
        <w:rPr>
          <w:rFonts w:ascii="Segoe UI" w:hAnsi="Segoe UI" w:cs="Segoe UI"/>
        </w:rPr>
        <w:t xml:space="preserve">L’AFG est favorable aux évolutions proposées, car elles garantissent des conditions simples et transparentes pour l’ensemble des acteurs. </w:t>
      </w:r>
    </w:p>
    <w:p w:rsidR="003176C1" w:rsidRPr="00341374" w:rsidRDefault="00132351" w:rsidP="00132351">
      <w:pPr>
        <w:jc w:val="both"/>
        <w:rPr>
          <w:rFonts w:ascii="Segoe UI" w:hAnsi="Segoe UI" w:cs="Segoe UI"/>
        </w:rPr>
      </w:pPr>
      <w:r w:rsidRPr="001E40E2">
        <w:rPr>
          <w:rFonts w:ascii="Segoe UI" w:hAnsi="Segoe UI" w:cs="Segoe UI"/>
        </w:rPr>
        <w:t xml:space="preserve">Par ailleurs, </w:t>
      </w:r>
      <w:r w:rsidR="001E40E2">
        <w:rPr>
          <w:rFonts w:ascii="Segoe UI" w:hAnsi="Segoe UI" w:cs="Segoe UI"/>
        </w:rPr>
        <w:t>l’AFG estime que la</w:t>
      </w:r>
      <w:r w:rsidRPr="001E40E2">
        <w:rPr>
          <w:rFonts w:ascii="Segoe UI" w:hAnsi="Segoe UI" w:cs="Segoe UI"/>
        </w:rPr>
        <w:t xml:space="preserve"> CRE doit absolument veiller à ce que le tarif de la prestation soit une répercussion </w:t>
      </w:r>
      <w:r w:rsidR="0099324A" w:rsidRPr="001E40E2">
        <w:rPr>
          <w:rFonts w:ascii="Segoe UI" w:hAnsi="Segoe UI" w:cs="Segoe UI"/>
        </w:rPr>
        <w:t xml:space="preserve">juste </w:t>
      </w:r>
      <w:r w:rsidRPr="001E40E2">
        <w:rPr>
          <w:rFonts w:ascii="Segoe UI" w:hAnsi="Segoe UI" w:cs="Segoe UI"/>
        </w:rPr>
        <w:t>des différents coûts associés à cette opération et</w:t>
      </w:r>
      <w:r w:rsidR="001E40E2">
        <w:rPr>
          <w:rFonts w:ascii="Segoe UI" w:hAnsi="Segoe UI" w:cs="Segoe UI"/>
        </w:rPr>
        <w:t xml:space="preserve"> à ce</w:t>
      </w:r>
      <w:bookmarkStart w:id="0" w:name="_GoBack"/>
      <w:bookmarkEnd w:id="0"/>
      <w:r w:rsidRPr="001E40E2">
        <w:rPr>
          <w:rFonts w:ascii="Segoe UI" w:hAnsi="Segoe UI" w:cs="Segoe UI"/>
        </w:rPr>
        <w:t xml:space="preserve"> que ces coûts soient optimisés par le prestataire du service de conversion dans la mesure de ses possibilités.</w:t>
      </w:r>
      <w:r>
        <w:rPr>
          <w:rFonts w:ascii="Segoe UI" w:hAnsi="Segoe UI" w:cs="Segoe UI"/>
        </w:rPr>
        <w:t xml:space="preserve"> </w:t>
      </w:r>
    </w:p>
    <w:p w:rsidR="003176C1" w:rsidRPr="00341374" w:rsidRDefault="003176C1" w:rsidP="001E63DC">
      <w:pPr>
        <w:rPr>
          <w:rFonts w:ascii="Segoe UI" w:hAnsi="Segoe UI" w:cs="Segoe UI"/>
        </w:rPr>
      </w:pPr>
    </w:p>
    <w:sectPr w:rsidR="003176C1" w:rsidRPr="00341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3DC"/>
    <w:rsid w:val="00066A58"/>
    <w:rsid w:val="00132351"/>
    <w:rsid w:val="001E40E2"/>
    <w:rsid w:val="001E63DC"/>
    <w:rsid w:val="003176C1"/>
    <w:rsid w:val="00341374"/>
    <w:rsid w:val="006B3D86"/>
    <w:rsid w:val="008F289F"/>
    <w:rsid w:val="0099324A"/>
    <w:rsid w:val="00B14D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55543">
      <w:bodyDiv w:val="1"/>
      <w:marLeft w:val="0"/>
      <w:marRight w:val="0"/>
      <w:marTop w:val="0"/>
      <w:marBottom w:val="0"/>
      <w:divBdr>
        <w:top w:val="none" w:sz="0" w:space="0" w:color="auto"/>
        <w:left w:val="none" w:sz="0" w:space="0" w:color="auto"/>
        <w:bottom w:val="none" w:sz="0" w:space="0" w:color="auto"/>
        <w:right w:val="none" w:sz="0" w:space="0" w:color="auto"/>
      </w:divBdr>
    </w:div>
    <w:div w:id="67091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232</Words>
  <Characters>1279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Madeleine LAFON</dc:creator>
  <cp:lastModifiedBy>Madeleine LAFON</cp:lastModifiedBy>
  <cp:revision>3</cp:revision>
  <dcterms:created xsi:type="dcterms:W3CDTF">2018-11-23T15:30:00Z</dcterms:created>
  <dcterms:modified xsi:type="dcterms:W3CDTF">2018-11-23T15:35:00Z</dcterms:modified>
</cp:coreProperties>
</file>