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14B" w:rsidRPr="00A319A9" w:rsidRDefault="009E5A4D" w:rsidP="0044114B">
      <w:pPr>
        <w:spacing w:line="220" w:lineRule="exact"/>
        <w:rPr>
          <w:rFonts w:ascii="Arial" w:hAnsi="Arial" w:cs="Arial"/>
          <w:color w:val="007BC2" w:themeColor="accent2"/>
          <w:sz w:val="18"/>
          <w:szCs w:val="18"/>
        </w:rPr>
      </w:pPr>
      <w:r>
        <w:rPr>
          <w:rFonts w:ascii="Arial" w:hAnsi="Arial" w:cs="Arial"/>
          <w:color w:val="007BC2" w:themeColor="accent2"/>
          <w:sz w:val="18"/>
          <w:szCs w:val="18"/>
        </w:rPr>
        <w:t>GRTgaz</w:t>
      </w:r>
      <w:r w:rsidR="0044114B" w:rsidRPr="00A319A9">
        <w:rPr>
          <w:rFonts w:ascii="Arial" w:hAnsi="Arial" w:cs="Arial"/>
          <w:color w:val="007BC2" w:themeColor="accent2"/>
          <w:sz w:val="18"/>
          <w:szCs w:val="18"/>
        </w:rPr>
        <w:tab/>
      </w:r>
    </w:p>
    <w:p w:rsidR="0044114B" w:rsidRPr="00A319A9" w:rsidRDefault="009E5A4D" w:rsidP="0044114B">
      <w:pPr>
        <w:spacing w:line="220" w:lineRule="exact"/>
        <w:rPr>
          <w:rStyle w:val="Pavnoir"/>
          <w:rFonts w:ascii="Arial" w:hAnsi="Arial" w:cs="Arial"/>
        </w:rPr>
      </w:pPr>
      <w:r>
        <w:rPr>
          <w:rFonts w:ascii="Arial" w:hAnsi="Arial" w:cs="Arial"/>
          <w:color w:val="007BC2" w:themeColor="accent2"/>
          <w:sz w:val="18"/>
          <w:szCs w:val="18"/>
        </w:rPr>
        <w:t xml:space="preserve">6 rue Raoul </w:t>
      </w:r>
      <w:proofErr w:type="spellStart"/>
      <w:r>
        <w:rPr>
          <w:rFonts w:ascii="Arial" w:hAnsi="Arial" w:cs="Arial"/>
          <w:color w:val="007BC2" w:themeColor="accent2"/>
          <w:sz w:val="18"/>
          <w:szCs w:val="18"/>
        </w:rPr>
        <w:t>Nordling</w:t>
      </w:r>
      <w:proofErr w:type="spellEnd"/>
      <w:r w:rsidR="0044114B" w:rsidRPr="00A319A9">
        <w:rPr>
          <w:rFonts w:ascii="Arial" w:hAnsi="Arial" w:cs="Arial"/>
          <w:color w:val="007BC2" w:themeColor="accent2"/>
          <w:sz w:val="18"/>
          <w:szCs w:val="18"/>
        </w:rPr>
        <w:tab/>
      </w:r>
      <w:r w:rsidR="0044114B" w:rsidRPr="00A319A9">
        <w:rPr>
          <w:rStyle w:val="Pavnoir"/>
          <w:rFonts w:ascii="Arial" w:hAnsi="Arial" w:cs="Arial"/>
        </w:rPr>
        <w:t xml:space="preserve"> </w:t>
      </w:r>
    </w:p>
    <w:p w:rsidR="0044114B" w:rsidRPr="00A319A9" w:rsidRDefault="009E5A4D" w:rsidP="0044114B">
      <w:pPr>
        <w:spacing w:line="220" w:lineRule="exact"/>
        <w:rPr>
          <w:rFonts w:ascii="Arial" w:hAnsi="Arial" w:cs="Arial"/>
          <w:color w:val="007BC2" w:themeColor="accent2"/>
          <w:sz w:val="18"/>
          <w:szCs w:val="18"/>
        </w:rPr>
      </w:pPr>
      <w:r>
        <w:rPr>
          <w:rFonts w:ascii="Arial" w:hAnsi="Arial" w:cs="Arial"/>
          <w:color w:val="007BC2" w:themeColor="accent2"/>
          <w:sz w:val="18"/>
          <w:szCs w:val="18"/>
        </w:rPr>
        <w:t>92270 Bois-Colombes</w:t>
      </w:r>
      <w:r w:rsidR="0044114B" w:rsidRPr="00A319A9">
        <w:rPr>
          <w:rFonts w:ascii="Arial" w:hAnsi="Arial" w:cs="Arial"/>
          <w:color w:val="007BC2" w:themeColor="accent2"/>
          <w:sz w:val="18"/>
          <w:szCs w:val="18"/>
        </w:rPr>
        <w:tab/>
      </w:r>
      <w:r w:rsidR="0044114B" w:rsidRPr="00A319A9">
        <w:rPr>
          <w:rFonts w:ascii="Arial" w:hAnsi="Arial" w:cs="Arial"/>
          <w:color w:val="007BC2" w:themeColor="accent2"/>
          <w:sz w:val="18"/>
          <w:szCs w:val="18"/>
        </w:rPr>
        <w:tab/>
      </w:r>
    </w:p>
    <w:p w:rsidR="0044114B" w:rsidRPr="00A319A9" w:rsidRDefault="0044114B" w:rsidP="0044114B">
      <w:pPr>
        <w:spacing w:line="220" w:lineRule="exact"/>
        <w:rPr>
          <w:rFonts w:ascii="Arial" w:hAnsi="Arial" w:cs="Arial"/>
          <w:color w:val="007BC2" w:themeColor="accent2"/>
          <w:sz w:val="18"/>
          <w:szCs w:val="18"/>
        </w:rPr>
      </w:pPr>
      <w:r w:rsidRPr="00A319A9">
        <w:rPr>
          <w:rFonts w:ascii="Arial" w:hAnsi="Arial" w:cs="Arial"/>
          <w:color w:val="007BC2" w:themeColor="accent2"/>
          <w:sz w:val="18"/>
          <w:szCs w:val="18"/>
        </w:rPr>
        <w:t>Téléphone +33(0)</w:t>
      </w:r>
      <w:r w:rsidR="00514FF9">
        <w:rPr>
          <w:rFonts w:ascii="Arial" w:hAnsi="Arial" w:cs="Arial"/>
          <w:color w:val="007BC2" w:themeColor="accent2"/>
          <w:sz w:val="18"/>
          <w:szCs w:val="18"/>
        </w:rPr>
        <w:t>1 55 66 40 00</w:t>
      </w:r>
    </w:p>
    <w:p w:rsidR="0044114B" w:rsidRPr="00A319A9" w:rsidRDefault="0044114B" w:rsidP="0044114B">
      <w:pPr>
        <w:spacing w:line="220" w:lineRule="exact"/>
        <w:rPr>
          <w:rFonts w:ascii="Arial" w:hAnsi="Arial" w:cs="Arial"/>
        </w:rPr>
      </w:pPr>
      <w:r w:rsidRPr="00A319A9">
        <w:rPr>
          <w:rFonts w:ascii="Arial" w:hAnsi="Arial" w:cs="Arial"/>
          <w:color w:val="007BC2" w:themeColor="accent2"/>
          <w:sz w:val="18"/>
          <w:szCs w:val="18"/>
        </w:rPr>
        <w:t>www.grtgaz.com</w:t>
      </w:r>
    </w:p>
    <w:p w:rsidR="0044114B" w:rsidRPr="00A319A9" w:rsidRDefault="0044114B" w:rsidP="0044114B">
      <w:pPr>
        <w:rPr>
          <w:rFonts w:ascii="Arial" w:hAnsi="Arial" w:cs="Arial"/>
        </w:rPr>
      </w:pPr>
    </w:p>
    <w:p w:rsidR="001F7C6E" w:rsidRPr="00A02F58" w:rsidRDefault="00514FF9" w:rsidP="00A02F58">
      <w:pPr>
        <w:pStyle w:val="Titre1"/>
        <w:spacing w:line="240" w:lineRule="auto"/>
        <w:jc w:val="center"/>
      </w:pPr>
      <w:r w:rsidRPr="00514FF9">
        <w:t xml:space="preserve">Réponses de GRTgaz </w:t>
      </w:r>
      <w:r w:rsidR="00A02F58">
        <w:br/>
      </w:r>
      <w:r w:rsidRPr="00514FF9">
        <w:t xml:space="preserve">à la Consultation Publique </w:t>
      </w:r>
      <w:r w:rsidR="00781CBF">
        <w:t xml:space="preserve">n° </w:t>
      </w:r>
      <w:r w:rsidR="00781CBF" w:rsidRPr="00781CBF">
        <w:t>2018-012</w:t>
      </w:r>
      <w:r w:rsidR="00781CBF">
        <w:t xml:space="preserve"> </w:t>
      </w:r>
      <w:r w:rsidRPr="00514FF9">
        <w:t xml:space="preserve">du </w:t>
      </w:r>
      <w:r w:rsidR="00781CBF">
        <w:t>25 octobre 2018</w:t>
      </w:r>
      <w:r w:rsidRPr="00514FF9">
        <w:t xml:space="preserve"> </w:t>
      </w:r>
      <w:r w:rsidR="00A02F58">
        <w:br/>
      </w:r>
      <w:r w:rsidR="00781CBF">
        <w:t>relative aux modalités d’accès à la zone desservie en gaz à bas pouvoir calorifique (« gaz B »)</w:t>
      </w:r>
      <w:r w:rsidR="00781CBF" w:rsidRPr="00781CBF">
        <w:t xml:space="preserve"> </w:t>
      </w:r>
    </w:p>
    <w:p w:rsidR="00A319A9" w:rsidRPr="00A319A9" w:rsidRDefault="00A319A9" w:rsidP="0044114B">
      <w:pPr>
        <w:rPr>
          <w:rFonts w:ascii="Arial" w:hAnsi="Arial" w:cs="Arial"/>
        </w:rPr>
      </w:pPr>
    </w:p>
    <w:p w:rsidR="00514FF9" w:rsidRDefault="00514FF9" w:rsidP="00A02F58">
      <w:pPr>
        <w:pStyle w:val="Titre2"/>
        <w:jc w:val="both"/>
      </w:pPr>
      <w:r>
        <w:t xml:space="preserve">Question 1 </w:t>
      </w:r>
      <w:r w:rsidR="00781CBF" w:rsidRPr="00781CBF">
        <w:t>Partagez-vous le bilan positif de la CRE sur les règles d’accès à la zone B en vigueur depuis 2013 ?</w:t>
      </w:r>
    </w:p>
    <w:p w:rsidR="00514FF9" w:rsidRDefault="00514FF9" w:rsidP="00A02F58">
      <w:pPr>
        <w:pStyle w:val="Titre2"/>
        <w:jc w:val="both"/>
      </w:pPr>
    </w:p>
    <w:p w:rsidR="00781CBF" w:rsidRPr="00781CBF" w:rsidRDefault="00781CBF" w:rsidP="00781CBF">
      <w:pPr>
        <w:tabs>
          <w:tab w:val="num" w:pos="2880"/>
        </w:tabs>
        <w:jc w:val="both"/>
      </w:pPr>
      <w:r w:rsidRPr="00781CBF">
        <w:t>GRTgaz</w:t>
      </w:r>
      <w:r>
        <w:t xml:space="preserve"> partage le bilan positif </w:t>
      </w:r>
      <w:r w:rsidR="00565B2C">
        <w:t>présenté par l</w:t>
      </w:r>
      <w:r>
        <w:t>a CRE sur les règles d’accès à la zone B en vigueur depuis 2013.</w:t>
      </w:r>
      <w:r w:rsidR="00565B2C">
        <w:t xml:space="preserve"> En effet, compte tenu des contraintes inhérentes à l’alimentation physique du réseau B, l</w:t>
      </w:r>
      <w:r w:rsidR="00565B2C" w:rsidRPr="00565B2C">
        <w:t xml:space="preserve">e service de conversion de gaz H en gaz B </w:t>
      </w:r>
      <w:r w:rsidR="00565B2C">
        <w:t xml:space="preserve">signé en 2005, en garantissant </w:t>
      </w:r>
      <w:r w:rsidR="00565B2C" w:rsidRPr="00565B2C">
        <w:t>à tout fournisseur autre qu’ENGIE la fourniture en gaz B pour alimenter ses clients de la zone B</w:t>
      </w:r>
      <w:r w:rsidR="00565B2C">
        <w:t xml:space="preserve"> </w:t>
      </w:r>
      <w:r w:rsidR="00565B2C" w:rsidRPr="00565B2C">
        <w:t xml:space="preserve">a permis </w:t>
      </w:r>
      <w:r w:rsidR="00BE1599" w:rsidRPr="00FC04D2">
        <w:t>d’alimenter l’ensemble des clients de la zone B. Cela a eu pour conséquence une fusion réussie des zones facilitant</w:t>
      </w:r>
      <w:r w:rsidR="0069627B">
        <w:t xml:space="preserve"> ainsi</w:t>
      </w:r>
      <w:r w:rsidR="00BE1599" w:rsidRPr="00FC04D2">
        <w:t xml:space="preserve"> la concurrence.</w:t>
      </w:r>
    </w:p>
    <w:p w:rsidR="00781CBF" w:rsidRPr="00781CBF" w:rsidRDefault="00781CBF" w:rsidP="00781CBF"/>
    <w:p w:rsidR="00514FF9" w:rsidRDefault="00514FF9" w:rsidP="00A02F58">
      <w:pPr>
        <w:pStyle w:val="Titre2"/>
        <w:jc w:val="both"/>
      </w:pPr>
      <w:r>
        <w:t xml:space="preserve">Question </w:t>
      </w:r>
      <w:proofErr w:type="gramStart"/>
      <w:r>
        <w:t xml:space="preserve">2 </w:t>
      </w:r>
      <w:r w:rsidR="00781CBF" w:rsidRPr="00781CBF">
        <w:t xml:space="preserve"> Êtes</w:t>
      </w:r>
      <w:proofErr w:type="gramEnd"/>
      <w:r w:rsidR="00781CBF" w:rsidRPr="00781CBF">
        <w:t xml:space="preserve">-vous favorable au fonctionnement des zones H et B tel qu’envisagé par la CRE ? </w:t>
      </w:r>
      <w:r w:rsidR="00565B2C" w:rsidRPr="00781CBF">
        <w:t>Voyez</w:t>
      </w:r>
      <w:r w:rsidR="00565B2C">
        <w:t>-</w:t>
      </w:r>
      <w:r w:rsidR="00565B2C" w:rsidRPr="00781CBF">
        <w:t>vous</w:t>
      </w:r>
      <w:r w:rsidR="00781CBF" w:rsidRPr="00781CBF">
        <w:t xml:space="preserve"> des solutions alternatives permettant le maintien de la fusion des zones H et B au-delà de 2023 ? </w:t>
      </w:r>
      <w:r>
        <w:t xml:space="preserve"> </w:t>
      </w:r>
    </w:p>
    <w:p w:rsidR="00514FF9" w:rsidRPr="00514FF9" w:rsidRDefault="00514FF9" w:rsidP="00A02F58">
      <w:pPr>
        <w:jc w:val="both"/>
      </w:pPr>
    </w:p>
    <w:p w:rsidR="00565B2C" w:rsidRDefault="00046859" w:rsidP="00781CBF">
      <w:pPr>
        <w:tabs>
          <w:tab w:val="num" w:pos="2880"/>
        </w:tabs>
        <w:jc w:val="both"/>
      </w:pPr>
      <w:r>
        <w:t>GRTgaz est favorable aux</w:t>
      </w:r>
      <w:r w:rsidR="00565B2C">
        <w:t xml:space="preserve"> modalités de fonctionnement des zones H et B envisagées par la CRE</w:t>
      </w:r>
      <w:r w:rsidR="002B6895">
        <w:t>. Elles</w:t>
      </w:r>
      <w:r w:rsidR="00565B2C">
        <w:t xml:space="preserve"> répondent</w:t>
      </w:r>
      <w:r w:rsidR="0078463A" w:rsidRPr="00781CBF">
        <w:t xml:space="preserve"> aux </w:t>
      </w:r>
      <w:r>
        <w:t xml:space="preserve">attentes </w:t>
      </w:r>
      <w:r w:rsidR="0078463A" w:rsidRPr="00781CBF">
        <w:t>de GRTgaz</w:t>
      </w:r>
      <w:r>
        <w:t xml:space="preserve"> pour pouvoir exercer sa mission de gestionnaire du réseau de transport. Ces besoins sont les suivant</w:t>
      </w:r>
      <w:r w:rsidR="00565B2C">
        <w:t>s :</w:t>
      </w:r>
    </w:p>
    <w:p w:rsidR="00565B2C" w:rsidRDefault="0078463A" w:rsidP="00046859">
      <w:pPr>
        <w:pStyle w:val="Paragraphedeliste"/>
        <w:numPr>
          <w:ilvl w:val="0"/>
          <w:numId w:val="6"/>
        </w:numPr>
        <w:tabs>
          <w:tab w:val="num" w:pos="2880"/>
        </w:tabs>
        <w:jc w:val="both"/>
      </w:pPr>
      <w:proofErr w:type="gramStart"/>
      <w:r w:rsidRPr="00781CBF">
        <w:t>assurer</w:t>
      </w:r>
      <w:proofErr w:type="gramEnd"/>
      <w:r w:rsidRPr="00781CBF">
        <w:t xml:space="preserve"> </w:t>
      </w:r>
      <w:r w:rsidR="00046859">
        <w:t xml:space="preserve">de manière efficace et sure </w:t>
      </w:r>
      <w:r w:rsidRPr="00781CBF">
        <w:t>la gestion opérationnelle de la zone B</w:t>
      </w:r>
      <w:r w:rsidR="00046859">
        <w:t xml:space="preserve"> </w:t>
      </w:r>
      <w:r w:rsidR="00046859" w:rsidRPr="00781CBF">
        <w:t>au sei</w:t>
      </w:r>
      <w:r w:rsidR="00046859">
        <w:t>n de la place de marché unique, et notamment l’équilibre des flux de gaz</w:t>
      </w:r>
      <w:r w:rsidR="00565B2C">
        <w:t>,</w:t>
      </w:r>
    </w:p>
    <w:p w:rsidR="00565B2C" w:rsidRDefault="0078463A" w:rsidP="00046859">
      <w:pPr>
        <w:pStyle w:val="Paragraphedeliste"/>
        <w:numPr>
          <w:ilvl w:val="0"/>
          <w:numId w:val="6"/>
        </w:numPr>
        <w:tabs>
          <w:tab w:val="num" w:pos="2880"/>
        </w:tabs>
        <w:jc w:val="both"/>
      </w:pPr>
      <w:proofErr w:type="gramStart"/>
      <w:r w:rsidRPr="00781CBF">
        <w:t>garantir</w:t>
      </w:r>
      <w:proofErr w:type="gramEnd"/>
      <w:r w:rsidRPr="00781CBF">
        <w:t xml:space="preserve"> le fonctionnement de la zone B j</w:t>
      </w:r>
      <w:r w:rsidR="00046859">
        <w:t>usqu’à la fin de la conversion de la zone B en gaz H, et notamment au-delà de 2023 ;</w:t>
      </w:r>
    </w:p>
    <w:p w:rsidR="005A2D0C" w:rsidRPr="00044B09" w:rsidRDefault="0078463A" w:rsidP="00A02F58">
      <w:pPr>
        <w:pStyle w:val="Paragraphedeliste"/>
        <w:numPr>
          <w:ilvl w:val="0"/>
          <w:numId w:val="6"/>
        </w:numPr>
        <w:tabs>
          <w:tab w:val="num" w:pos="2880"/>
        </w:tabs>
        <w:jc w:val="both"/>
      </w:pPr>
      <w:r w:rsidRPr="00781CBF">
        <w:t>couvrir</w:t>
      </w:r>
      <w:r w:rsidR="00046859">
        <w:t xml:space="preserve"> par le</w:t>
      </w:r>
      <w:r w:rsidR="00BE1599">
        <w:t>s</w:t>
      </w:r>
      <w:r w:rsidR="00046859">
        <w:t xml:space="preserve"> </w:t>
      </w:r>
      <w:r w:rsidR="00BE1599">
        <w:t xml:space="preserve">tarifs </w:t>
      </w:r>
      <w:r w:rsidRPr="00781CBF">
        <w:t xml:space="preserve">les coûts </w:t>
      </w:r>
      <w:r w:rsidR="00046859">
        <w:t xml:space="preserve">induits pour </w:t>
      </w:r>
      <w:r w:rsidRPr="00781CBF">
        <w:t>GRTgaz</w:t>
      </w:r>
      <w:r w:rsidR="00565B2C">
        <w:t>.</w:t>
      </w:r>
      <w:bookmarkStart w:id="0" w:name="_GoBack"/>
      <w:bookmarkEnd w:id="0"/>
    </w:p>
    <w:sectPr w:rsidR="005A2D0C" w:rsidRPr="00044B09" w:rsidSect="004411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929" w:right="1361" w:bottom="1417" w:left="192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DB5" w:rsidRDefault="00322DB5" w:rsidP="0044114B">
      <w:r>
        <w:separator/>
      </w:r>
    </w:p>
  </w:endnote>
  <w:endnote w:type="continuationSeparator" w:id="0">
    <w:p w:rsidR="00322DB5" w:rsidRDefault="00322DB5" w:rsidP="0044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3AC" w:rsidRDefault="008B53A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63A" w:rsidRDefault="008B53AC">
    <w:pPr>
      <w:pStyle w:val="Pieddepage"/>
      <w:jc w:val="right"/>
    </w:pPr>
    <w:r>
      <w:t>26 novembre 2018</w:t>
    </w:r>
    <w:r>
      <w:tab/>
    </w:r>
    <w:r>
      <w:tab/>
    </w:r>
    <w:sdt>
      <w:sdtPr>
        <w:id w:val="949660963"/>
        <w:docPartObj>
          <w:docPartGallery w:val="Page Numbers (Bottom of Page)"/>
          <w:docPartUnique/>
        </w:docPartObj>
      </w:sdtPr>
      <w:sdtEndPr/>
      <w:sdtContent>
        <w:r w:rsidR="0078463A">
          <w:fldChar w:fldCharType="begin"/>
        </w:r>
        <w:r w:rsidR="0078463A">
          <w:instrText>PAGE   \* MERGEFORMAT</w:instrText>
        </w:r>
        <w:r w:rsidR="0078463A">
          <w:fldChar w:fldCharType="separate"/>
        </w:r>
        <w:r w:rsidR="0074395E">
          <w:rPr>
            <w:noProof/>
          </w:rPr>
          <w:t>1</w:t>
        </w:r>
        <w:r w:rsidR="0078463A">
          <w:fldChar w:fldCharType="end"/>
        </w:r>
      </w:sdtContent>
    </w:sdt>
  </w:p>
  <w:p w:rsidR="0078463A" w:rsidRPr="0044114B" w:rsidRDefault="0078463A" w:rsidP="0044114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3AC" w:rsidRDefault="008B53A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DB5" w:rsidRDefault="00322DB5" w:rsidP="0044114B">
      <w:r>
        <w:separator/>
      </w:r>
    </w:p>
  </w:footnote>
  <w:footnote w:type="continuationSeparator" w:id="0">
    <w:p w:rsidR="00322DB5" w:rsidRDefault="00322DB5" w:rsidP="00441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3AC" w:rsidRDefault="008B53A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63A" w:rsidRDefault="0078463A" w:rsidP="0044114B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963E29" wp14:editId="77BB77A4">
          <wp:simplePos x="0" y="0"/>
          <wp:positionH relativeFrom="column">
            <wp:posOffset>-1225550</wp:posOffset>
          </wp:positionH>
          <wp:positionV relativeFrom="page">
            <wp:posOffset>0</wp:posOffset>
          </wp:positionV>
          <wp:extent cx="7560310" cy="1048688"/>
          <wp:effectExtent l="0" t="0" r="0" b="0"/>
          <wp:wrapNone/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Description : Description : R:Users:raoulsinier:Desktop: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4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3AC" w:rsidRDefault="008B53A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F06A3"/>
    <w:multiLevelType w:val="hybridMultilevel"/>
    <w:tmpl w:val="19F4F4A2"/>
    <w:lvl w:ilvl="0" w:tplc="14381E56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51400"/>
    <w:multiLevelType w:val="hybridMultilevel"/>
    <w:tmpl w:val="EC4246D6"/>
    <w:lvl w:ilvl="0" w:tplc="6400D200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A27AB"/>
    <w:multiLevelType w:val="hybridMultilevel"/>
    <w:tmpl w:val="F0662694"/>
    <w:lvl w:ilvl="0" w:tplc="682E1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5AB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20B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04C5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F2C3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5EF1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4D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68E8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2F4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F13379C"/>
    <w:multiLevelType w:val="hybridMultilevel"/>
    <w:tmpl w:val="2ED4EC22"/>
    <w:lvl w:ilvl="0" w:tplc="65026F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C86D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2C04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F46CB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C01D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EEA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F42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301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E4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B003935"/>
    <w:multiLevelType w:val="hybridMultilevel"/>
    <w:tmpl w:val="B4FA71EA"/>
    <w:lvl w:ilvl="0" w:tplc="31DC569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7976DA"/>
    <w:multiLevelType w:val="hybridMultilevel"/>
    <w:tmpl w:val="DA8CB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6330C"/>
    <w:multiLevelType w:val="hybridMultilevel"/>
    <w:tmpl w:val="E932B432"/>
    <w:lvl w:ilvl="0" w:tplc="31DC569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E8"/>
    <w:rsid w:val="00044B09"/>
    <w:rsid w:val="00046859"/>
    <w:rsid w:val="00047CC0"/>
    <w:rsid w:val="00073FCC"/>
    <w:rsid w:val="001819E4"/>
    <w:rsid w:val="00194456"/>
    <w:rsid w:val="001F7C6E"/>
    <w:rsid w:val="002A6536"/>
    <w:rsid w:val="002B6895"/>
    <w:rsid w:val="00322DB5"/>
    <w:rsid w:val="00344B4E"/>
    <w:rsid w:val="00391EED"/>
    <w:rsid w:val="003C672F"/>
    <w:rsid w:val="003D793F"/>
    <w:rsid w:val="003E62FE"/>
    <w:rsid w:val="0044114B"/>
    <w:rsid w:val="00443865"/>
    <w:rsid w:val="00471590"/>
    <w:rsid w:val="004767D3"/>
    <w:rsid w:val="004E7429"/>
    <w:rsid w:val="00514FF9"/>
    <w:rsid w:val="00526DBE"/>
    <w:rsid w:val="00537667"/>
    <w:rsid w:val="00565B2C"/>
    <w:rsid w:val="005A2D0C"/>
    <w:rsid w:val="005A3968"/>
    <w:rsid w:val="005C67C2"/>
    <w:rsid w:val="005E7E8C"/>
    <w:rsid w:val="00635AFF"/>
    <w:rsid w:val="0069627B"/>
    <w:rsid w:val="006C4DAC"/>
    <w:rsid w:val="00730F8D"/>
    <w:rsid w:val="00734054"/>
    <w:rsid w:val="0074395E"/>
    <w:rsid w:val="00765E31"/>
    <w:rsid w:val="00781CBF"/>
    <w:rsid w:val="0078463A"/>
    <w:rsid w:val="00791ECB"/>
    <w:rsid w:val="007C4AD2"/>
    <w:rsid w:val="007D68D5"/>
    <w:rsid w:val="007F426C"/>
    <w:rsid w:val="007F7619"/>
    <w:rsid w:val="00841F46"/>
    <w:rsid w:val="00847138"/>
    <w:rsid w:val="00856EEC"/>
    <w:rsid w:val="00877C60"/>
    <w:rsid w:val="008B14E9"/>
    <w:rsid w:val="008B29E7"/>
    <w:rsid w:val="008B53AC"/>
    <w:rsid w:val="008E5059"/>
    <w:rsid w:val="00914779"/>
    <w:rsid w:val="00914F95"/>
    <w:rsid w:val="00980528"/>
    <w:rsid w:val="0099218A"/>
    <w:rsid w:val="009A0080"/>
    <w:rsid w:val="009E5A4D"/>
    <w:rsid w:val="00A00052"/>
    <w:rsid w:val="00A02F58"/>
    <w:rsid w:val="00A20EE4"/>
    <w:rsid w:val="00A319A9"/>
    <w:rsid w:val="00AB3010"/>
    <w:rsid w:val="00B15B09"/>
    <w:rsid w:val="00B51C5C"/>
    <w:rsid w:val="00B57A86"/>
    <w:rsid w:val="00BA207A"/>
    <w:rsid w:val="00BC04E8"/>
    <w:rsid w:val="00BC41CC"/>
    <w:rsid w:val="00BC784A"/>
    <w:rsid w:val="00BE1599"/>
    <w:rsid w:val="00BE36E2"/>
    <w:rsid w:val="00C2113B"/>
    <w:rsid w:val="00C25391"/>
    <w:rsid w:val="00C7605E"/>
    <w:rsid w:val="00D54110"/>
    <w:rsid w:val="00D67EE0"/>
    <w:rsid w:val="00DB1360"/>
    <w:rsid w:val="00DD196D"/>
    <w:rsid w:val="00DD5C51"/>
    <w:rsid w:val="00DE113D"/>
    <w:rsid w:val="00DE2129"/>
    <w:rsid w:val="00DF07EE"/>
    <w:rsid w:val="00E4072F"/>
    <w:rsid w:val="00E505A7"/>
    <w:rsid w:val="00E745CB"/>
    <w:rsid w:val="00E7616B"/>
    <w:rsid w:val="00EC3F41"/>
    <w:rsid w:val="00F93B67"/>
    <w:rsid w:val="00FC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69BF11"/>
  <w14:defaultImageDpi w14:val="300"/>
  <w15:docId w15:val="{1D48694F-467A-45CA-9E6C-9C9130F9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14B"/>
    <w:pPr>
      <w:tabs>
        <w:tab w:val="left" w:pos="1276"/>
        <w:tab w:val="left" w:pos="5245"/>
      </w:tabs>
      <w:spacing w:line="270" w:lineRule="exact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14F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E62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14F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E62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411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4114B"/>
  </w:style>
  <w:style w:type="paragraph" w:styleId="Pieddepage">
    <w:name w:val="footer"/>
    <w:basedOn w:val="Normal"/>
    <w:link w:val="PieddepageCar"/>
    <w:uiPriority w:val="99"/>
    <w:unhideWhenUsed/>
    <w:rsid w:val="0044114B"/>
    <w:pPr>
      <w:tabs>
        <w:tab w:val="center" w:pos="4536"/>
        <w:tab w:val="right" w:pos="9072"/>
      </w:tabs>
      <w:spacing w:line="220" w:lineRule="exact"/>
    </w:pPr>
    <w:rPr>
      <w:color w:val="007BC2" w:themeColor="accent2"/>
      <w:sz w:val="14"/>
      <w:szCs w:val="14"/>
    </w:rPr>
  </w:style>
  <w:style w:type="character" w:customStyle="1" w:styleId="PieddepageCar">
    <w:name w:val="Pied de page Car"/>
    <w:basedOn w:val="Policepardfaut"/>
    <w:link w:val="Pieddepage"/>
    <w:uiPriority w:val="99"/>
    <w:rsid w:val="0044114B"/>
    <w:rPr>
      <w:color w:val="007BC2" w:themeColor="accent2"/>
      <w:sz w:val="14"/>
      <w:szCs w:val="14"/>
    </w:rPr>
  </w:style>
  <w:style w:type="paragraph" w:customStyle="1" w:styleId="Pavadresse">
    <w:name w:val="Pavé adresse"/>
    <w:qFormat/>
    <w:rsid w:val="0044114B"/>
    <w:pPr>
      <w:spacing w:line="220" w:lineRule="exact"/>
    </w:pPr>
    <w:rPr>
      <w:color w:val="007BC2" w:themeColor="accent2"/>
      <w:sz w:val="18"/>
      <w:szCs w:val="18"/>
    </w:rPr>
  </w:style>
  <w:style w:type="character" w:customStyle="1" w:styleId="Pavnoir">
    <w:name w:val="Pavé noir"/>
    <w:basedOn w:val="Policepardfaut"/>
    <w:uiPriority w:val="1"/>
    <w:qFormat/>
    <w:rsid w:val="0044114B"/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514FF9"/>
    <w:rPr>
      <w:rFonts w:asciiTheme="majorHAnsi" w:eastAsiaTheme="majorEastAsia" w:hAnsiTheme="majorHAnsi" w:cstheme="majorBidi"/>
      <w:color w:val="007E62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14FF9"/>
    <w:rPr>
      <w:rFonts w:asciiTheme="majorHAnsi" w:eastAsiaTheme="majorEastAsia" w:hAnsiTheme="majorHAnsi" w:cstheme="majorBidi"/>
      <w:color w:val="007E62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3E62FE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D19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D196D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D196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19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D196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9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6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7994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93931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ouleurs GRTgaz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A984"/>
      </a:accent1>
      <a:accent2>
        <a:srgbClr val="007BC2"/>
      </a:accent2>
      <a:accent3>
        <a:srgbClr val="951B81"/>
      </a:accent3>
      <a:accent4>
        <a:srgbClr val="E6007E"/>
      </a:accent4>
      <a:accent5>
        <a:srgbClr val="F39200"/>
      </a:accent5>
      <a:accent6>
        <a:srgbClr val="FFED00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4BD94FC71E44835B7359C20504F1" ma:contentTypeVersion="1" ma:contentTypeDescription="Crée un document." ma:contentTypeScope="" ma:versionID="eb93050328df66823a520e72780aa6a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3c27bd0fcb797d0a61d91e17cfc962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e de début de planification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e de fin de planification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F2BC6A-BC56-4CB3-8183-68DE9B3AA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22429F-CE4F-4E77-95DA-7E4619A11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27A71-D108-4786-88F4-78082C8381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D6A6B1E-0F8A-4F86-B562-BEDACB0E2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E9B8E289</Template>
  <TotalTime>13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GRTgaz</dc:creator>
  <cp:keywords/>
  <dc:description/>
  <cp:lastModifiedBy>Saunier Julien</cp:lastModifiedBy>
  <cp:revision>5</cp:revision>
  <cp:lastPrinted>2018-11-21T09:24:00Z</cp:lastPrinted>
  <dcterms:created xsi:type="dcterms:W3CDTF">2018-11-21T10:33:00Z</dcterms:created>
  <dcterms:modified xsi:type="dcterms:W3CDTF">2018-11-27T16:56:00Z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0x01010092694BD94FC71E44835B7359C20504F1</vt:lpwstr>
  </property>
</Properties>
</file>