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5086" w:type="pct"/>
        <w:tblLayout w:type="fixed"/>
        <w:tblCellMar>
          <w:left w:w="0" w:type="dxa"/>
          <w:right w:w="0" w:type="dxa"/>
        </w:tblCellMar>
        <w:tblLook w:val="04A0" w:firstRow="1" w:lastRow="0" w:firstColumn="1" w:lastColumn="0" w:noHBand="0" w:noVBand="1"/>
      </w:tblPr>
      <w:tblGrid>
        <w:gridCol w:w="9202"/>
        <w:gridCol w:w="26"/>
      </w:tblGrid>
      <w:tr w:rsidR="00967D8B" w14:paraId="75D04ABD" w14:textId="77777777" w:rsidTr="008E5B6D">
        <w:trPr>
          <w:trHeight w:hRule="exact" w:val="57"/>
        </w:trPr>
        <w:tc>
          <w:tcPr>
            <w:tcW w:w="5000" w:type="pct"/>
            <w:gridSpan w:val="2"/>
            <w:tcBorders>
              <w:top w:val="nil"/>
              <w:left w:val="nil"/>
              <w:bottom w:val="nil"/>
              <w:right w:val="nil"/>
            </w:tcBorders>
          </w:tcPr>
          <w:p w14:paraId="699AE1AB" w14:textId="77777777" w:rsidR="00967D8B" w:rsidRPr="000A703F" w:rsidRDefault="00967D8B" w:rsidP="005D7CA1"/>
        </w:tc>
      </w:tr>
      <w:tr w:rsidR="00DC0861" w14:paraId="170A854F" w14:textId="77777777" w:rsidTr="008E5B6D">
        <w:trPr>
          <w:trHeight w:hRule="exact" w:val="57"/>
        </w:trPr>
        <w:tc>
          <w:tcPr>
            <w:tcW w:w="5000" w:type="pct"/>
            <w:gridSpan w:val="2"/>
            <w:tcBorders>
              <w:top w:val="nil"/>
              <w:left w:val="nil"/>
              <w:bottom w:val="nil"/>
              <w:right w:val="nil"/>
            </w:tcBorders>
          </w:tcPr>
          <w:p w14:paraId="52D02AE5" w14:textId="77777777" w:rsidR="00DC0861" w:rsidRPr="000A703F" w:rsidRDefault="00DC0861" w:rsidP="005D7CA1"/>
        </w:tc>
      </w:tr>
      <w:tr w:rsidR="00967D8B" w:rsidRPr="00D7005D" w14:paraId="58BD1E74" w14:textId="77777777" w:rsidTr="00DC0861">
        <w:trPr>
          <w:trHeight w:hRule="exact" w:val="300"/>
        </w:trPr>
        <w:tc>
          <w:tcPr>
            <w:tcW w:w="4986" w:type="pct"/>
            <w:tcBorders>
              <w:top w:val="nil"/>
              <w:left w:val="nil"/>
              <w:bottom w:val="nil"/>
              <w:right w:val="nil"/>
            </w:tcBorders>
          </w:tcPr>
          <w:p w14:paraId="09A8F3AE" w14:textId="67A563B0" w:rsidR="00967D8B" w:rsidRPr="00D7005D" w:rsidRDefault="00DC0861" w:rsidP="00DC0861">
            <w:pPr>
              <w:pStyle w:val="Intitulbold"/>
              <w:jc w:val="right"/>
              <w:rPr>
                <w:rFonts w:ascii="Calibri" w:hAnsi="Calibri"/>
                <w:b w:val="0"/>
              </w:rPr>
            </w:pPr>
            <w:r w:rsidRPr="00D7005D">
              <w:rPr>
                <w:rFonts w:ascii="Calibri" w:hAnsi="Calibri"/>
                <w:b w:val="0"/>
              </w:rPr>
              <w:t xml:space="preserve">Bois-Colombes, le </w:t>
            </w:r>
            <w:r w:rsidR="00180845">
              <w:rPr>
                <w:rFonts w:ascii="Calibri" w:hAnsi="Calibri"/>
                <w:b w:val="0"/>
              </w:rPr>
              <w:t>2</w:t>
            </w:r>
            <w:r w:rsidR="00991A87">
              <w:rPr>
                <w:rFonts w:ascii="Calibri" w:hAnsi="Calibri"/>
                <w:b w:val="0"/>
              </w:rPr>
              <w:t>0</w:t>
            </w:r>
            <w:r w:rsidR="00180845">
              <w:rPr>
                <w:rFonts w:ascii="Calibri" w:hAnsi="Calibri"/>
                <w:b w:val="0"/>
              </w:rPr>
              <w:t xml:space="preserve"> novembre</w:t>
            </w:r>
            <w:r w:rsidRPr="00D7005D">
              <w:rPr>
                <w:rFonts w:ascii="Calibri" w:hAnsi="Calibri"/>
                <w:b w:val="0"/>
              </w:rPr>
              <w:t xml:space="preserve"> 2018</w:t>
            </w:r>
          </w:p>
        </w:tc>
        <w:tc>
          <w:tcPr>
            <w:tcW w:w="14" w:type="pct"/>
            <w:tcBorders>
              <w:top w:val="nil"/>
              <w:left w:val="nil"/>
              <w:bottom w:val="nil"/>
              <w:right w:val="nil"/>
            </w:tcBorders>
          </w:tcPr>
          <w:p w14:paraId="319914BB" w14:textId="77777777" w:rsidR="00967D8B" w:rsidRPr="00D7005D" w:rsidRDefault="00967D8B" w:rsidP="00967D8B">
            <w:pPr>
              <w:pStyle w:val="Texteintitul"/>
              <w:rPr>
                <w:rFonts w:ascii="Calibri" w:hAnsi="Calibri"/>
              </w:rPr>
            </w:pPr>
          </w:p>
        </w:tc>
      </w:tr>
      <w:tr w:rsidR="00967D8B" w:rsidRPr="00D7005D" w14:paraId="1EF1731A" w14:textId="77777777" w:rsidTr="008E5B6D">
        <w:trPr>
          <w:trHeight w:hRule="exact" w:val="454"/>
        </w:trPr>
        <w:tc>
          <w:tcPr>
            <w:tcW w:w="5000" w:type="pct"/>
            <w:gridSpan w:val="2"/>
            <w:tcBorders>
              <w:top w:val="nil"/>
              <w:left w:val="nil"/>
              <w:bottom w:val="nil"/>
              <w:right w:val="nil"/>
            </w:tcBorders>
          </w:tcPr>
          <w:p w14:paraId="6A461DC8" w14:textId="77777777" w:rsidR="00967D8B" w:rsidRPr="00D7005D" w:rsidRDefault="00967D8B" w:rsidP="005D7CA1">
            <w:pPr>
              <w:rPr>
                <w:rFonts w:ascii="Calibri" w:hAnsi="Calibri"/>
                <w:sz w:val="22"/>
              </w:rPr>
            </w:pPr>
          </w:p>
        </w:tc>
      </w:tr>
      <w:tr w:rsidR="00967D8B" w:rsidRPr="00D7005D" w14:paraId="6CF2ECF3" w14:textId="77777777" w:rsidTr="008E5B6D">
        <w:trPr>
          <w:trHeight w:val="397"/>
        </w:trPr>
        <w:tc>
          <w:tcPr>
            <w:tcW w:w="5000" w:type="pct"/>
            <w:gridSpan w:val="2"/>
            <w:tcBorders>
              <w:top w:val="nil"/>
              <w:left w:val="nil"/>
              <w:bottom w:val="single" w:sz="4" w:space="0" w:color="424242" w:themeColor="background2"/>
              <w:right w:val="nil"/>
            </w:tcBorders>
          </w:tcPr>
          <w:p w14:paraId="2FD96012" w14:textId="77777777" w:rsidR="00967D8B" w:rsidRDefault="003557C7" w:rsidP="00CD3A8A">
            <w:pPr>
              <w:pStyle w:val="Titre"/>
              <w:jc w:val="both"/>
              <w:rPr>
                <w:rFonts w:ascii="Calibri" w:hAnsi="Calibri"/>
                <w:sz w:val="30"/>
                <w:szCs w:val="30"/>
              </w:rPr>
            </w:pPr>
            <w:r w:rsidRPr="00D7005D">
              <w:rPr>
                <w:rFonts w:ascii="Calibri" w:hAnsi="Calibri"/>
                <w:sz w:val="30"/>
                <w:szCs w:val="30"/>
              </w:rPr>
              <w:t xml:space="preserve">Réponse de Storengy à la </w:t>
            </w:r>
            <w:r w:rsidR="00CD3A8A" w:rsidRPr="00CD3A8A">
              <w:rPr>
                <w:rFonts w:ascii="Calibri" w:hAnsi="Calibri"/>
                <w:sz w:val="30"/>
                <w:szCs w:val="30"/>
              </w:rPr>
              <w:t>consultation publique n°2018-012 du 25 octobre 2018</w:t>
            </w:r>
            <w:r w:rsidR="00CD3A8A">
              <w:rPr>
                <w:rFonts w:ascii="Calibri" w:hAnsi="Calibri"/>
                <w:sz w:val="30"/>
                <w:szCs w:val="30"/>
              </w:rPr>
              <w:t xml:space="preserve"> </w:t>
            </w:r>
            <w:r w:rsidR="00CD3A8A" w:rsidRPr="00CD3A8A">
              <w:rPr>
                <w:rFonts w:ascii="Calibri" w:hAnsi="Calibri"/>
                <w:sz w:val="30"/>
                <w:szCs w:val="30"/>
              </w:rPr>
              <w:t xml:space="preserve">relative aux modalités d’accès </w:t>
            </w:r>
            <w:r w:rsidR="00180845">
              <w:rPr>
                <w:rFonts w:ascii="Calibri" w:hAnsi="Calibri"/>
                <w:sz w:val="30"/>
                <w:szCs w:val="30"/>
              </w:rPr>
              <w:t>à</w:t>
            </w:r>
            <w:r w:rsidR="00CD3A8A" w:rsidRPr="00CD3A8A">
              <w:rPr>
                <w:rFonts w:ascii="Calibri" w:hAnsi="Calibri"/>
                <w:sz w:val="30"/>
                <w:szCs w:val="30"/>
              </w:rPr>
              <w:t xml:space="preserve"> la zone desservie en</w:t>
            </w:r>
            <w:r w:rsidR="00CD3A8A">
              <w:rPr>
                <w:rFonts w:ascii="Calibri" w:hAnsi="Calibri"/>
                <w:sz w:val="30"/>
                <w:szCs w:val="30"/>
              </w:rPr>
              <w:t xml:space="preserve"> </w:t>
            </w:r>
            <w:r w:rsidR="00CD3A8A" w:rsidRPr="00CD3A8A">
              <w:rPr>
                <w:rFonts w:ascii="Calibri" w:hAnsi="Calibri"/>
                <w:sz w:val="30"/>
                <w:szCs w:val="30"/>
              </w:rPr>
              <w:t xml:space="preserve">gaz </w:t>
            </w:r>
            <w:r w:rsidR="00180845">
              <w:rPr>
                <w:rFonts w:ascii="Calibri" w:hAnsi="Calibri"/>
                <w:sz w:val="30"/>
                <w:szCs w:val="30"/>
              </w:rPr>
              <w:t>à</w:t>
            </w:r>
            <w:r w:rsidR="00CD3A8A" w:rsidRPr="00CD3A8A">
              <w:rPr>
                <w:rFonts w:ascii="Calibri" w:hAnsi="Calibri"/>
                <w:sz w:val="30"/>
                <w:szCs w:val="30"/>
              </w:rPr>
              <w:t xml:space="preserve"> bas pouvoir calorifique (« gaz </w:t>
            </w:r>
            <w:r w:rsidR="00CD3A8A">
              <w:rPr>
                <w:rFonts w:ascii="Calibri" w:hAnsi="Calibri"/>
                <w:sz w:val="30"/>
                <w:szCs w:val="30"/>
              </w:rPr>
              <w:t>B</w:t>
            </w:r>
            <w:r w:rsidR="00CD3A8A" w:rsidRPr="00CD3A8A">
              <w:rPr>
                <w:rFonts w:ascii="Calibri" w:hAnsi="Calibri"/>
                <w:sz w:val="30"/>
                <w:szCs w:val="30"/>
              </w:rPr>
              <w:t xml:space="preserve"> »)</w:t>
            </w:r>
          </w:p>
          <w:p w14:paraId="41477226" w14:textId="77777777" w:rsidR="00D7005D" w:rsidRPr="00D7005D" w:rsidRDefault="00D7005D" w:rsidP="00D7005D"/>
        </w:tc>
      </w:tr>
      <w:tr w:rsidR="00967D8B" w:rsidRPr="00D7005D" w14:paraId="47254142" w14:textId="77777777" w:rsidTr="008E5B6D">
        <w:trPr>
          <w:trHeight w:hRule="exact" w:val="539"/>
        </w:trPr>
        <w:tc>
          <w:tcPr>
            <w:tcW w:w="5000" w:type="pct"/>
            <w:gridSpan w:val="2"/>
            <w:tcBorders>
              <w:top w:val="single" w:sz="4" w:space="0" w:color="424242" w:themeColor="background2"/>
              <w:left w:val="nil"/>
              <w:bottom w:val="nil"/>
              <w:right w:val="nil"/>
            </w:tcBorders>
          </w:tcPr>
          <w:p w14:paraId="3E791B9E" w14:textId="77777777" w:rsidR="00967D8B" w:rsidRPr="00D7005D" w:rsidRDefault="00967D8B" w:rsidP="005D7CA1">
            <w:pPr>
              <w:pStyle w:val="Texteintitul"/>
              <w:rPr>
                <w:rFonts w:ascii="Calibri" w:hAnsi="Calibri"/>
              </w:rPr>
            </w:pPr>
          </w:p>
        </w:tc>
      </w:tr>
    </w:tbl>
    <w:p w14:paraId="7B45580A" w14:textId="77777777" w:rsidR="0045592C" w:rsidRPr="00D7005D" w:rsidRDefault="00D7005D" w:rsidP="00D7005D">
      <w:pPr>
        <w:spacing w:after="120"/>
        <w:jc w:val="both"/>
        <w:rPr>
          <w:rFonts w:ascii="Calibri" w:hAnsi="Calibri"/>
          <w:sz w:val="22"/>
        </w:rPr>
      </w:pPr>
      <w:r>
        <w:rPr>
          <w:rFonts w:ascii="Calibri" w:hAnsi="Calibri"/>
          <w:noProof/>
          <w:sz w:val="22"/>
        </w:rPr>
        <mc:AlternateContent>
          <mc:Choice Requires="wps">
            <w:drawing>
              <wp:anchor distT="0" distB="0" distL="114300" distR="114300" simplePos="0" relativeHeight="251659264" behindDoc="0" locked="0" layoutInCell="1" allowOverlap="1" wp14:anchorId="249319B4" wp14:editId="152A2425">
                <wp:simplePos x="0" y="0"/>
                <wp:positionH relativeFrom="column">
                  <wp:posOffset>-109220</wp:posOffset>
                </wp:positionH>
                <wp:positionV relativeFrom="paragraph">
                  <wp:posOffset>-54927</wp:posOffset>
                </wp:positionV>
                <wp:extent cx="5991225" cy="2967037"/>
                <wp:effectExtent l="0" t="0" r="28575" b="24130"/>
                <wp:wrapNone/>
                <wp:docPr id="2" name="Rectangle 2"/>
                <wp:cNvGraphicFramePr/>
                <a:graphic xmlns:a="http://schemas.openxmlformats.org/drawingml/2006/main">
                  <a:graphicData uri="http://schemas.microsoft.com/office/word/2010/wordprocessingShape">
                    <wps:wsp>
                      <wps:cNvSpPr/>
                      <wps:spPr>
                        <a:xfrm>
                          <a:off x="0" y="0"/>
                          <a:ext cx="5991225" cy="2967037"/>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228526E" id="Rectangle 2" o:spid="_x0000_s1026" style="position:absolute;margin-left:-8.6pt;margin-top:-4.3pt;width:471.75pt;height:23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WDWnAIAAI8FAAAOAAAAZHJzL2Uyb0RvYy54bWysVE1v2zAMvQ/YfxB0X/2xplmCOkXQosOA&#10;oivaDj2rshQbkEVNUuJkv36UZDtBV+wwLAdFMslHvSeSl1f7TpGdsK4FXdHiLKdEaA51qzcV/fF8&#10;++kLJc4zXTMFWlT0IBy9Wn38cNmbpSihAVULSxBEu2VvKtp4b5ZZ5ngjOubOwAiNRgm2Yx6PdpPV&#10;lvWI3qmszPOLrAdbGwtcOIdfb5KRriK+lIL771I64YmqKN7Nx9XG9TWs2eqSLTeWmablwzXYP9yi&#10;Y63GpBPUDfOMbG37B1TXcgsOpD/j0GUgZctF5IBsivwNm6eGGRG5oDjOTDK5/wfL73cPlrR1RUtK&#10;NOvwiR5RNKY3SpAyyNMbt0SvJ/Ngh5PDbeC6l7YL/8iC7KOkh0lSsfeE48fZYlGU5YwSjrZycTHP&#10;P88DanYMN9b5rwI6EjYVtZg+Ssl2d84n19ElZNNw2yqF39lSadJj0ZXzPI8RDlRbB2swxhIS18qS&#10;HcPH9/tiyHvihbdQGi8TOCZWcecPSiT8RyFRHORRpgShLI+YjHOhfZFMDatFSjXL8TcmGyMiZaUR&#10;MCBLvOSEPQCMnglkxE4CDP4hVMSqnoIH5n8LniJiZtB+Cu5aDfY9ZgpZDZmT/yhSkiao9Ar1AUvH&#10;QuopZ/htiw94x5x/YBabCNsNB4P/jotUgA8Fw46SBuyv974Hf6xttFLSY1NW1P3cMisoUd80Vv2i&#10;OD8PXRwP57N5iQd7ank9tehtdw349AWOIMPjNvh7NW6lhe4F58c6ZEUT0xxzV5R7Ox6ufRoWOIG4&#10;WK+jG3auYf5OPxkewIOqoUCf9y/MmqGKPTbAPYwNzJZvijn5hkgN660H2cZKP+o66I1dHwtnmFBh&#10;rJyeo9dxjq5+AwAA//8DAFBLAwQUAAYACAAAACEABpGJMeEAAAAKAQAADwAAAGRycy9kb3ducmV2&#10;LnhtbEyPTU/DMAyG70j8h8hIXKYtbYEyStMJgUA7ICQGHLiljWnKGqdqsq38+5kT3Pzx6PXjcjW5&#10;XuxxDJ0nBekiAYHUeNNRq+D97XG+BBGiJqN7T6jgBwOsqtOTUhfGH+gV95vYCg6hUGgFNsahkDI0&#10;Fp0OCz8g8e7Lj05HbsdWmlEfONz1MkuSXDrdEV+wesB7i812s3MKPtdTbL/Tp/i81bOP2drWzctD&#10;rdT52XR3CyLiFP9g+NVndajYqfY7MkH0CubpdcYoF8scBAM3WX4BolZwecUTWZXy/wvVEQAA//8D&#10;AFBLAQItABQABgAIAAAAIQC2gziS/gAAAOEBAAATAAAAAAAAAAAAAAAAAAAAAABbQ29udGVudF9U&#10;eXBlc10ueG1sUEsBAi0AFAAGAAgAAAAhADj9If/WAAAAlAEAAAsAAAAAAAAAAAAAAAAALwEAAF9y&#10;ZWxzLy5yZWxzUEsBAi0AFAAGAAgAAAAhAN5xYNacAgAAjwUAAA4AAAAAAAAAAAAAAAAALgIAAGRy&#10;cy9lMm9Eb2MueG1sUEsBAi0AFAAGAAgAAAAhAAaRiTHhAAAACgEAAA8AAAAAAAAAAAAAAAAA9gQA&#10;AGRycy9kb3ducmV2LnhtbFBLBQYAAAAABAAEAPMAAAAEBgAAAAA=&#10;" filled="f" strokecolor="black [3213]" strokeweight="1pt"/>
            </w:pict>
          </mc:Fallback>
        </mc:AlternateContent>
      </w:r>
      <w:r w:rsidR="00DC0861" w:rsidRPr="00D7005D">
        <w:rPr>
          <w:rFonts w:ascii="Calibri" w:hAnsi="Calibri"/>
          <w:sz w:val="22"/>
        </w:rPr>
        <w:t xml:space="preserve">Storengy remercie la CRE de donner l’opportunité à tous les acteurs de marché de s’exprimer sur les modalités </w:t>
      </w:r>
      <w:r w:rsidR="0053743A">
        <w:rPr>
          <w:rFonts w:ascii="Calibri" w:hAnsi="Calibri"/>
          <w:sz w:val="22"/>
        </w:rPr>
        <w:t xml:space="preserve">d’accès </w:t>
      </w:r>
      <w:r w:rsidR="00180845">
        <w:rPr>
          <w:rFonts w:ascii="Calibri" w:hAnsi="Calibri"/>
          <w:sz w:val="22"/>
        </w:rPr>
        <w:t>à</w:t>
      </w:r>
      <w:r w:rsidR="0053743A">
        <w:rPr>
          <w:rFonts w:ascii="Calibri" w:hAnsi="Calibri"/>
          <w:sz w:val="22"/>
        </w:rPr>
        <w:t xml:space="preserve"> la zone B</w:t>
      </w:r>
      <w:r w:rsidR="00DC0861" w:rsidRPr="00D7005D">
        <w:rPr>
          <w:rFonts w:ascii="Calibri" w:hAnsi="Calibri"/>
          <w:sz w:val="22"/>
        </w:rPr>
        <w:t>.</w:t>
      </w:r>
      <w:r w:rsidR="00F736AE" w:rsidRPr="00D7005D">
        <w:rPr>
          <w:rFonts w:ascii="Calibri" w:hAnsi="Calibri"/>
          <w:sz w:val="22"/>
        </w:rPr>
        <w:t xml:space="preserve"> </w:t>
      </w:r>
    </w:p>
    <w:p w14:paraId="2E4F7A62" w14:textId="77777777" w:rsidR="008C7D35" w:rsidRDefault="0053743A" w:rsidP="0053743A">
      <w:pPr>
        <w:spacing w:after="120"/>
        <w:jc w:val="both"/>
        <w:rPr>
          <w:rFonts w:ascii="Calibri" w:hAnsi="Calibri"/>
          <w:sz w:val="22"/>
        </w:rPr>
      </w:pPr>
      <w:r>
        <w:rPr>
          <w:rFonts w:ascii="Calibri" w:hAnsi="Calibri"/>
          <w:sz w:val="22"/>
        </w:rPr>
        <w:t>Storengy souhaite réagir sur la date de 2026 donnée par la CRE pour la conversion du stockage de Gournay en gaz H. Cette date est en effet la date prévue à ce stade, mais Storengy alerte sur le fait que le projet de conversion de la zone B n’est pas à l’abris de retards éventuels et invite la CRE à retenir des modalités de fonctionnement de la zone B robustes à un décalage dans le temps de la conversion de ce stockage.</w:t>
      </w:r>
    </w:p>
    <w:p w14:paraId="637FD63B" w14:textId="77777777" w:rsidR="005F1D42" w:rsidRDefault="0053743A" w:rsidP="0053743A">
      <w:pPr>
        <w:spacing w:after="120"/>
        <w:jc w:val="both"/>
        <w:rPr>
          <w:rFonts w:ascii="Calibri" w:hAnsi="Calibri"/>
          <w:sz w:val="22"/>
        </w:rPr>
      </w:pPr>
      <w:r>
        <w:rPr>
          <w:rFonts w:ascii="Calibri" w:hAnsi="Calibri"/>
          <w:sz w:val="22"/>
        </w:rPr>
        <w:t>Par ailleurs, Storengy rappelle que le stockage de Gournay est un stockage aquifère. Ainsi, le maintien de ses performances nécessite un niveau de remplissage minimum chaque année</w:t>
      </w:r>
      <w:r w:rsidR="007338BD">
        <w:rPr>
          <w:rFonts w:ascii="Calibri" w:hAnsi="Calibri"/>
          <w:sz w:val="22"/>
        </w:rPr>
        <w:t xml:space="preserve">. </w:t>
      </w:r>
    </w:p>
    <w:p w14:paraId="57EE7BD2" w14:textId="1C7A8D80" w:rsidR="005F1D42" w:rsidRDefault="005F1D42" w:rsidP="0053743A">
      <w:pPr>
        <w:spacing w:after="120"/>
        <w:jc w:val="both"/>
        <w:rPr>
          <w:rFonts w:ascii="Calibri" w:hAnsi="Calibri"/>
          <w:sz w:val="22"/>
        </w:rPr>
      </w:pPr>
      <w:r w:rsidRPr="004D4389">
        <w:rPr>
          <w:rFonts w:ascii="Calibri" w:hAnsi="Calibri"/>
          <w:sz w:val="22"/>
        </w:rPr>
        <w:t>Si pour une année de stockage donnée, les capacités souscrites (et donc cyclées) venaient à diminuer fortement, Storengy ne garantit pas que la performance proposée à la commercialisation soit maintenue par la suite ou même réalisable pour l’année en question. Storengy attire donc l’attention de la CRE sur le fait que les dispositions d’accès au stockage en gaz B doivent globalement rester pendant toute période précédant la conversion de la zone au moins aussi attractives que celles prévues pour les stockages en gaz H</w:t>
      </w:r>
    </w:p>
    <w:p w14:paraId="19B9920E" w14:textId="77777777" w:rsidR="00DC0861" w:rsidRPr="00D7005D" w:rsidRDefault="00DC0861" w:rsidP="008C7D35">
      <w:pPr>
        <w:jc w:val="both"/>
        <w:rPr>
          <w:rFonts w:ascii="Calibri" w:hAnsi="Calibri"/>
          <w:sz w:val="22"/>
        </w:rPr>
      </w:pPr>
    </w:p>
    <w:p w14:paraId="7F24D390" w14:textId="77777777" w:rsidR="00FF4EDC" w:rsidRPr="00D7005D" w:rsidRDefault="00FF4EDC" w:rsidP="0053743A">
      <w:pPr>
        <w:spacing w:after="120"/>
        <w:jc w:val="both"/>
        <w:rPr>
          <w:rFonts w:ascii="Calibri" w:hAnsi="Calibri"/>
          <w:color w:val="0078BE" w:themeColor="accent2"/>
          <w:sz w:val="22"/>
        </w:rPr>
      </w:pPr>
      <w:r w:rsidRPr="00D7005D">
        <w:rPr>
          <w:rFonts w:ascii="Calibri" w:hAnsi="Calibri"/>
          <w:b/>
          <w:color w:val="0078BE" w:themeColor="accent2"/>
          <w:sz w:val="22"/>
          <w:u w:val="single"/>
        </w:rPr>
        <w:t>Question 1 :</w:t>
      </w:r>
      <w:r w:rsidRPr="00D7005D">
        <w:rPr>
          <w:rFonts w:ascii="Calibri" w:hAnsi="Calibri"/>
          <w:color w:val="0078BE" w:themeColor="accent2"/>
          <w:sz w:val="22"/>
        </w:rPr>
        <w:t xml:space="preserve"> </w:t>
      </w:r>
      <w:r w:rsidR="0053743A" w:rsidRPr="0053743A">
        <w:rPr>
          <w:rFonts w:ascii="Calibri" w:hAnsi="Calibri"/>
          <w:color w:val="0078BE" w:themeColor="accent2"/>
          <w:sz w:val="22"/>
        </w:rPr>
        <w:t>Partagez-vous le bilan positif de la CRE sur les règles d’accès à la zone B en vigueur depuis</w:t>
      </w:r>
      <w:r w:rsidR="0053743A">
        <w:rPr>
          <w:rFonts w:ascii="Calibri" w:hAnsi="Calibri"/>
          <w:color w:val="0078BE" w:themeColor="accent2"/>
          <w:sz w:val="22"/>
        </w:rPr>
        <w:t xml:space="preserve"> </w:t>
      </w:r>
      <w:r w:rsidR="0053743A" w:rsidRPr="0053743A">
        <w:rPr>
          <w:rFonts w:ascii="Calibri" w:hAnsi="Calibri"/>
          <w:color w:val="0078BE" w:themeColor="accent2"/>
          <w:sz w:val="22"/>
        </w:rPr>
        <w:t>2013 ?</w:t>
      </w:r>
    </w:p>
    <w:p w14:paraId="42D52928" w14:textId="77777777" w:rsidR="008C7D35" w:rsidRDefault="007338BD" w:rsidP="008C7D35">
      <w:pPr>
        <w:spacing w:after="120"/>
        <w:jc w:val="both"/>
        <w:rPr>
          <w:rFonts w:ascii="Calibri" w:hAnsi="Calibri"/>
          <w:sz w:val="22"/>
        </w:rPr>
      </w:pPr>
      <w:r>
        <w:rPr>
          <w:rFonts w:ascii="Calibri" w:hAnsi="Calibri"/>
          <w:sz w:val="22"/>
        </w:rPr>
        <w:t>Storengy considère que la c</w:t>
      </w:r>
      <w:r w:rsidRPr="007338BD">
        <w:rPr>
          <w:rFonts w:ascii="Calibri" w:hAnsi="Calibri"/>
          <w:sz w:val="22"/>
        </w:rPr>
        <w:t>réation d’une place de marché Nord unique pour les zones de gaz H et B</w:t>
      </w:r>
      <w:r>
        <w:rPr>
          <w:rFonts w:ascii="Calibri" w:hAnsi="Calibri"/>
          <w:sz w:val="22"/>
        </w:rPr>
        <w:t xml:space="preserve"> est un succès pour l’ouverture des marchés du gaz à la concurrence, et que son fonctionnement opérationnel est maitrisé par les opérateurs d’infrastructures.</w:t>
      </w:r>
    </w:p>
    <w:p w14:paraId="0698C877" w14:textId="77777777" w:rsidR="007338BD" w:rsidRPr="00D7005D" w:rsidRDefault="007338BD" w:rsidP="008C7D35">
      <w:pPr>
        <w:spacing w:after="120"/>
        <w:jc w:val="both"/>
        <w:rPr>
          <w:rFonts w:ascii="Calibri" w:hAnsi="Calibri"/>
          <w:sz w:val="22"/>
        </w:rPr>
      </w:pPr>
      <w:r>
        <w:rPr>
          <w:rFonts w:ascii="Calibri" w:hAnsi="Calibri"/>
          <w:sz w:val="22"/>
        </w:rPr>
        <w:t>Storengy partage donc le bilan positif de la CRE</w:t>
      </w:r>
    </w:p>
    <w:p w14:paraId="2E4F240B" w14:textId="77777777" w:rsidR="008C7D35" w:rsidRPr="00D7005D" w:rsidRDefault="008C7D35" w:rsidP="008C7D35">
      <w:pPr>
        <w:spacing w:after="120"/>
        <w:jc w:val="both"/>
        <w:rPr>
          <w:rFonts w:ascii="Calibri" w:hAnsi="Calibri"/>
          <w:sz w:val="22"/>
        </w:rPr>
      </w:pPr>
    </w:p>
    <w:p w14:paraId="2D269749" w14:textId="77777777" w:rsidR="00FF4EDC" w:rsidRPr="00D7005D" w:rsidRDefault="00FF4EDC" w:rsidP="0053743A">
      <w:pPr>
        <w:spacing w:after="120"/>
        <w:jc w:val="both"/>
        <w:rPr>
          <w:rFonts w:ascii="Calibri" w:hAnsi="Calibri"/>
          <w:b/>
          <w:color w:val="0078BE" w:themeColor="accent2"/>
          <w:sz w:val="22"/>
          <w:u w:val="single"/>
        </w:rPr>
      </w:pPr>
      <w:r w:rsidRPr="00D7005D">
        <w:rPr>
          <w:rFonts w:ascii="Calibri" w:hAnsi="Calibri"/>
          <w:b/>
          <w:color w:val="0078BE" w:themeColor="accent2"/>
          <w:sz w:val="22"/>
          <w:u w:val="single"/>
        </w:rPr>
        <w:t xml:space="preserve">Question 2 : </w:t>
      </w:r>
      <w:r w:rsidR="0053743A" w:rsidRPr="0053743A">
        <w:rPr>
          <w:rFonts w:ascii="Calibri" w:hAnsi="Calibri"/>
          <w:color w:val="0078BE" w:themeColor="accent2"/>
          <w:sz w:val="22"/>
        </w:rPr>
        <w:t>Êtes-vous favorable au fonctionnement des zones H et B tel qu’envisagé par la CRE ? Voyez</w:t>
      </w:r>
      <w:r w:rsidR="0053743A">
        <w:rPr>
          <w:rFonts w:ascii="Calibri" w:hAnsi="Calibri"/>
          <w:color w:val="0078BE" w:themeColor="accent2"/>
          <w:sz w:val="22"/>
        </w:rPr>
        <w:t>-</w:t>
      </w:r>
      <w:r w:rsidR="0053743A" w:rsidRPr="0053743A">
        <w:rPr>
          <w:rFonts w:ascii="Calibri" w:hAnsi="Calibri"/>
          <w:color w:val="0078BE" w:themeColor="accent2"/>
          <w:sz w:val="22"/>
        </w:rPr>
        <w:t>vous</w:t>
      </w:r>
      <w:r w:rsidR="0053743A">
        <w:rPr>
          <w:rFonts w:ascii="Calibri" w:hAnsi="Calibri"/>
          <w:color w:val="0078BE" w:themeColor="accent2"/>
          <w:sz w:val="22"/>
        </w:rPr>
        <w:t xml:space="preserve"> </w:t>
      </w:r>
      <w:r w:rsidR="0053743A" w:rsidRPr="0053743A">
        <w:rPr>
          <w:rFonts w:ascii="Calibri" w:hAnsi="Calibri"/>
          <w:color w:val="0078BE" w:themeColor="accent2"/>
          <w:sz w:val="22"/>
        </w:rPr>
        <w:t>des solutions alternatives permettant le maintien de la fusion des zones H et B au-delà</w:t>
      </w:r>
      <w:r w:rsidR="0053743A">
        <w:rPr>
          <w:rFonts w:ascii="Calibri" w:hAnsi="Calibri"/>
          <w:color w:val="0078BE" w:themeColor="accent2"/>
          <w:sz w:val="22"/>
        </w:rPr>
        <w:t xml:space="preserve"> </w:t>
      </w:r>
      <w:r w:rsidR="0053743A" w:rsidRPr="0053743A">
        <w:rPr>
          <w:rFonts w:ascii="Calibri" w:hAnsi="Calibri"/>
          <w:color w:val="0078BE" w:themeColor="accent2"/>
          <w:sz w:val="22"/>
        </w:rPr>
        <w:t>de 2023 ?</w:t>
      </w:r>
    </w:p>
    <w:p w14:paraId="0F94A4DF" w14:textId="424511AE" w:rsidR="00FF4EDC" w:rsidRPr="00D7005D" w:rsidRDefault="007338BD" w:rsidP="00991A87">
      <w:pPr>
        <w:spacing w:after="120"/>
        <w:jc w:val="both"/>
        <w:rPr>
          <w:rFonts w:ascii="Calibri" w:hAnsi="Calibri"/>
          <w:sz w:val="22"/>
        </w:rPr>
      </w:pPr>
      <w:r>
        <w:rPr>
          <w:rFonts w:ascii="Calibri" w:hAnsi="Calibri"/>
          <w:sz w:val="22"/>
        </w:rPr>
        <w:t>Storengy est favorable au fonctionnement des zones H et B tel qu’envisagé par la CRE, bien que toute hausse de l’ATRT soit regrettable pour le développeme</w:t>
      </w:r>
      <w:r w:rsidR="00991A87">
        <w:rPr>
          <w:rFonts w:ascii="Calibri" w:hAnsi="Calibri"/>
          <w:sz w:val="22"/>
        </w:rPr>
        <w:t>nt des usages du gaz en France.</w:t>
      </w:r>
      <w:bookmarkStart w:id="0" w:name="_GoBack"/>
      <w:bookmarkEnd w:id="0"/>
    </w:p>
    <w:sectPr w:rsidR="00FF4EDC" w:rsidRPr="00D7005D" w:rsidSect="00D7005D">
      <w:headerReference w:type="default" r:id="rId10"/>
      <w:footerReference w:type="default" r:id="rId11"/>
      <w:headerReference w:type="first" r:id="rId12"/>
      <w:footerReference w:type="first" r:id="rId13"/>
      <w:type w:val="continuous"/>
      <w:pgSz w:w="11906" w:h="16838" w:code="9"/>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F0FF1" w14:textId="77777777" w:rsidR="009268AE" w:rsidRDefault="009268AE" w:rsidP="00C645D0">
      <w:r>
        <w:separator/>
      </w:r>
    </w:p>
  </w:endnote>
  <w:endnote w:type="continuationSeparator" w:id="0">
    <w:p w14:paraId="1C635FD4" w14:textId="77777777" w:rsidR="009268AE" w:rsidRDefault="009268AE" w:rsidP="00C64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6835227"/>
      <w:docPartObj>
        <w:docPartGallery w:val="Page Numbers (Bottom of Page)"/>
        <w:docPartUnique/>
      </w:docPartObj>
    </w:sdtPr>
    <w:sdtEndPr/>
    <w:sdtContent>
      <w:p w14:paraId="609DDF3F" w14:textId="77777777" w:rsidR="001F51C1" w:rsidRDefault="001F51C1">
        <w:pPr>
          <w:pStyle w:val="Pieddepage"/>
          <w:jc w:val="right"/>
        </w:pPr>
        <w:r>
          <w:fldChar w:fldCharType="begin"/>
        </w:r>
        <w:r>
          <w:instrText>PAGE   \* MERGEFORMAT</w:instrText>
        </w:r>
        <w:r>
          <w:fldChar w:fldCharType="separate"/>
        </w:r>
        <w:r>
          <w:t>2</w:t>
        </w:r>
        <w:r>
          <w:fldChar w:fldCharType="end"/>
        </w:r>
      </w:p>
    </w:sdtContent>
  </w:sdt>
  <w:tbl>
    <w:tblPr>
      <w:tblStyle w:val="Grilledutableau"/>
      <w:tblpPr w:horzAnchor="margin" w:tblpYSpec="bottom"/>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072"/>
    </w:tblGrid>
    <w:tr w:rsidR="001F51C1" w:rsidRPr="003557C7" w14:paraId="6904F96A" w14:textId="77777777" w:rsidTr="00F604FE">
      <w:tc>
        <w:tcPr>
          <w:tcW w:w="9790" w:type="dxa"/>
        </w:tcPr>
        <w:p w14:paraId="238A6A6D" w14:textId="77777777" w:rsidR="001F51C1" w:rsidRPr="0088357C" w:rsidRDefault="001F51C1" w:rsidP="001F51C1">
          <w:pPr>
            <w:pStyle w:val="Socitbasdepage"/>
            <w:framePr w:wrap="auto" w:hAnchor="text" w:yAlign="inline"/>
            <w:suppressOverlap w:val="0"/>
            <w:rPr>
              <w:lang w:val="en-US"/>
            </w:rPr>
          </w:pPr>
          <w:r w:rsidRPr="0088357C">
            <w:rPr>
              <w:lang w:val="en-US"/>
            </w:rPr>
            <w:t>STORENGY</w:t>
          </w:r>
        </w:p>
        <w:p w14:paraId="102198B7" w14:textId="77777777" w:rsidR="001F51C1" w:rsidRPr="0088357C" w:rsidRDefault="001F51C1" w:rsidP="001F51C1">
          <w:pPr>
            <w:pStyle w:val="Adressebasdepage"/>
            <w:framePr w:wrap="auto" w:hAnchor="text" w:yAlign="inline"/>
            <w:suppressOverlap w:val="0"/>
            <w:rPr>
              <w:lang w:val="en-US"/>
            </w:rPr>
          </w:pPr>
          <w:proofErr w:type="spellStart"/>
          <w:r w:rsidRPr="0088357C">
            <w:rPr>
              <w:lang w:val="en-US"/>
            </w:rPr>
            <w:t>Bâtiment</w:t>
          </w:r>
          <w:proofErr w:type="spellEnd"/>
          <w:r w:rsidRPr="0088357C">
            <w:rPr>
              <w:lang w:val="en-US"/>
            </w:rPr>
            <w:t xml:space="preserve"> Djinn</w:t>
          </w:r>
        </w:p>
        <w:p w14:paraId="73EC5209" w14:textId="77777777" w:rsidR="001F51C1" w:rsidRPr="009A0FD1" w:rsidRDefault="001F51C1" w:rsidP="001F51C1">
          <w:pPr>
            <w:rPr>
              <w:color w:val="B1B1B1" w:themeColor="text2"/>
              <w:sz w:val="16"/>
              <w:lang w:val="en-US"/>
            </w:rPr>
          </w:pPr>
          <w:r w:rsidRPr="0088357C">
            <w:rPr>
              <w:color w:val="B1B1B1" w:themeColor="text2"/>
              <w:sz w:val="16"/>
              <w:lang w:val="en-US"/>
            </w:rPr>
            <w:t xml:space="preserve">12 rue Raoul </w:t>
          </w:r>
          <w:proofErr w:type="spellStart"/>
          <w:r w:rsidRPr="0088357C">
            <w:rPr>
              <w:color w:val="B1B1B1" w:themeColor="text2"/>
              <w:sz w:val="16"/>
              <w:lang w:val="en-US"/>
            </w:rPr>
            <w:t>Nordling</w:t>
          </w:r>
          <w:proofErr w:type="spellEnd"/>
          <w:r>
            <w:rPr>
              <w:color w:val="B1B1B1" w:themeColor="text2"/>
              <w:sz w:val="16"/>
              <w:lang w:val="en-US"/>
            </w:rPr>
            <w:t xml:space="preserve"> - </w:t>
          </w:r>
          <w:r w:rsidRPr="009A0FD1">
            <w:rPr>
              <w:color w:val="B1B1B1" w:themeColor="text2"/>
              <w:sz w:val="16"/>
              <w:lang w:val="en-US"/>
            </w:rPr>
            <w:t xml:space="preserve">CS70001 </w:t>
          </w:r>
        </w:p>
        <w:p w14:paraId="4C140DE4" w14:textId="77777777" w:rsidR="001F51C1" w:rsidRPr="000F1144" w:rsidRDefault="001F51C1" w:rsidP="001F51C1">
          <w:pPr>
            <w:rPr>
              <w:color w:val="B1B1B1" w:themeColor="text2"/>
              <w:sz w:val="16"/>
            </w:rPr>
          </w:pPr>
          <w:r w:rsidRPr="008E5B6D">
            <w:rPr>
              <w:color w:val="B1B1B1" w:themeColor="text2"/>
              <w:sz w:val="16"/>
            </w:rPr>
            <w:t>92274 Bois-Colombes</w:t>
          </w:r>
        </w:p>
        <w:p w14:paraId="3865CFF3" w14:textId="77777777" w:rsidR="001F51C1" w:rsidRPr="001E0C70" w:rsidRDefault="001F51C1" w:rsidP="001F51C1">
          <w:pPr>
            <w:pStyle w:val="Adressebasdepage"/>
            <w:framePr w:wrap="auto" w:hAnchor="text" w:yAlign="inline"/>
            <w:suppressOverlap w:val="0"/>
          </w:pPr>
          <w:r w:rsidRPr="00047F75">
            <w:t>Tél. +33 (0)</w:t>
          </w:r>
          <w:r>
            <w:t>1 46 52 33 90</w:t>
          </w:r>
        </w:p>
        <w:p w14:paraId="34E77B3D" w14:textId="77777777" w:rsidR="001F51C1" w:rsidRPr="001A0EC3" w:rsidRDefault="001F51C1" w:rsidP="001F51C1">
          <w:pPr>
            <w:rPr>
              <w:color w:val="B1B1B1" w:themeColor="text2"/>
              <w:sz w:val="16"/>
            </w:rPr>
          </w:pPr>
          <w:r w:rsidRPr="001A0EC3">
            <w:rPr>
              <w:color w:val="B1B1B1" w:themeColor="text2"/>
              <w:sz w:val="16"/>
            </w:rPr>
            <w:t>Storengy.com</w:t>
          </w:r>
        </w:p>
        <w:p w14:paraId="2F6FA475" w14:textId="77777777" w:rsidR="001F51C1" w:rsidRPr="003557C7" w:rsidRDefault="001F51C1" w:rsidP="001F51C1">
          <w:pPr>
            <w:rPr>
              <w:color w:val="B1B1B1" w:themeColor="text2"/>
              <w:sz w:val="16"/>
            </w:rPr>
          </w:pPr>
          <w:r>
            <w:rPr>
              <w:color w:val="B1B1B1" w:themeColor="text2"/>
              <w:sz w:val="16"/>
            </w:rPr>
            <w:t>STORENGY</w:t>
          </w:r>
          <w:r w:rsidRPr="001A0EC3">
            <w:rPr>
              <w:color w:val="B1B1B1" w:themeColor="text2"/>
              <w:sz w:val="16"/>
            </w:rPr>
            <w:t>- SA au capital de 344 941 670,03 euros - RCS Nanterre 487 650 632</w:t>
          </w:r>
        </w:p>
      </w:tc>
    </w:tr>
  </w:tbl>
  <w:p w14:paraId="7EE13A56" w14:textId="77777777" w:rsidR="00876AFF" w:rsidRDefault="00876AFF" w:rsidP="001F51C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8688707"/>
      <w:docPartObj>
        <w:docPartGallery w:val="Page Numbers (Bottom of Page)"/>
        <w:docPartUnique/>
      </w:docPartObj>
    </w:sdtPr>
    <w:sdtEndPr/>
    <w:sdtContent>
      <w:p w14:paraId="75C29FF6" w14:textId="77777777" w:rsidR="001F51C1" w:rsidRPr="001F51C1" w:rsidRDefault="001F51C1">
        <w:pPr>
          <w:pStyle w:val="Pieddepage"/>
          <w:jc w:val="right"/>
          <w:rPr>
            <w:lang w:val="en-US"/>
          </w:rPr>
        </w:pPr>
        <w:r>
          <w:fldChar w:fldCharType="begin"/>
        </w:r>
        <w:r w:rsidRPr="001F51C1">
          <w:rPr>
            <w:lang w:val="en-US"/>
          </w:rPr>
          <w:instrText>PAGE   \* MERGEFORMAT</w:instrText>
        </w:r>
        <w:r>
          <w:fldChar w:fldCharType="separate"/>
        </w:r>
        <w:r w:rsidRPr="001F51C1">
          <w:rPr>
            <w:lang w:val="en-US"/>
          </w:rPr>
          <w:t>2</w:t>
        </w:r>
        <w:r>
          <w:fldChar w:fldCharType="end"/>
        </w:r>
      </w:p>
    </w:sdtContent>
  </w:sdt>
  <w:p w14:paraId="467F9E52" w14:textId="77777777" w:rsidR="001F51C1" w:rsidRPr="0088357C" w:rsidRDefault="001F51C1" w:rsidP="001F51C1">
    <w:pPr>
      <w:pStyle w:val="Socitbasdepage"/>
      <w:framePr w:wrap="around"/>
      <w:rPr>
        <w:lang w:val="en-US"/>
      </w:rPr>
    </w:pPr>
    <w:r w:rsidRPr="0088357C">
      <w:rPr>
        <w:lang w:val="en-US"/>
      </w:rPr>
      <w:t>STORENGY</w:t>
    </w:r>
  </w:p>
  <w:p w14:paraId="28E996AB" w14:textId="77777777" w:rsidR="001F51C1" w:rsidRPr="0088357C" w:rsidRDefault="001F51C1" w:rsidP="001F51C1">
    <w:pPr>
      <w:pStyle w:val="Adressebasdepage"/>
      <w:framePr w:wrap="around"/>
      <w:rPr>
        <w:lang w:val="en-US"/>
      </w:rPr>
    </w:pPr>
    <w:proofErr w:type="spellStart"/>
    <w:r w:rsidRPr="0088357C">
      <w:rPr>
        <w:lang w:val="en-US"/>
      </w:rPr>
      <w:t>Bâtiment</w:t>
    </w:r>
    <w:proofErr w:type="spellEnd"/>
    <w:r w:rsidRPr="0088357C">
      <w:rPr>
        <w:lang w:val="en-US"/>
      </w:rPr>
      <w:t xml:space="preserve"> Djinn</w:t>
    </w:r>
  </w:p>
  <w:p w14:paraId="2445E0A9" w14:textId="77777777" w:rsidR="001F51C1" w:rsidRPr="009A0FD1" w:rsidRDefault="001F51C1" w:rsidP="001F51C1">
    <w:pPr>
      <w:framePr w:wrap="around" w:hAnchor="margin" w:yAlign="bottom"/>
      <w:suppressOverlap/>
      <w:rPr>
        <w:color w:val="B1B1B1" w:themeColor="text2"/>
        <w:sz w:val="16"/>
        <w:lang w:val="en-US"/>
      </w:rPr>
    </w:pPr>
    <w:r w:rsidRPr="0088357C">
      <w:rPr>
        <w:color w:val="B1B1B1" w:themeColor="text2"/>
        <w:sz w:val="16"/>
        <w:lang w:val="en-US"/>
      </w:rPr>
      <w:t xml:space="preserve">12 rue Raoul </w:t>
    </w:r>
    <w:proofErr w:type="spellStart"/>
    <w:r w:rsidRPr="0088357C">
      <w:rPr>
        <w:color w:val="B1B1B1" w:themeColor="text2"/>
        <w:sz w:val="16"/>
        <w:lang w:val="en-US"/>
      </w:rPr>
      <w:t>Nordling</w:t>
    </w:r>
    <w:proofErr w:type="spellEnd"/>
    <w:r>
      <w:rPr>
        <w:color w:val="B1B1B1" w:themeColor="text2"/>
        <w:sz w:val="16"/>
        <w:lang w:val="en-US"/>
      </w:rPr>
      <w:t xml:space="preserve"> - </w:t>
    </w:r>
    <w:r w:rsidRPr="009A0FD1">
      <w:rPr>
        <w:color w:val="B1B1B1" w:themeColor="text2"/>
        <w:sz w:val="16"/>
        <w:lang w:val="en-US"/>
      </w:rPr>
      <w:t xml:space="preserve">CS70001 </w:t>
    </w:r>
  </w:p>
  <w:p w14:paraId="27C87243" w14:textId="77777777" w:rsidR="001F51C1" w:rsidRPr="000F1144" w:rsidRDefault="001F51C1" w:rsidP="001F51C1">
    <w:pPr>
      <w:framePr w:wrap="around" w:hAnchor="margin" w:yAlign="bottom"/>
      <w:suppressOverlap/>
      <w:rPr>
        <w:color w:val="B1B1B1" w:themeColor="text2"/>
        <w:sz w:val="16"/>
      </w:rPr>
    </w:pPr>
    <w:r w:rsidRPr="008E5B6D">
      <w:rPr>
        <w:color w:val="B1B1B1" w:themeColor="text2"/>
        <w:sz w:val="16"/>
      </w:rPr>
      <w:t>92274 Bois-Colombes</w:t>
    </w:r>
  </w:p>
  <w:p w14:paraId="4FD43706" w14:textId="77777777" w:rsidR="001F51C1" w:rsidRPr="001E0C70" w:rsidRDefault="001F51C1" w:rsidP="001F51C1">
    <w:pPr>
      <w:pStyle w:val="Adressebasdepage"/>
      <w:framePr w:wrap="around"/>
    </w:pPr>
    <w:r w:rsidRPr="00047F75">
      <w:t>Tél. +33 (0)</w:t>
    </w:r>
    <w:r>
      <w:t>1 46 52 33 90</w:t>
    </w:r>
  </w:p>
  <w:p w14:paraId="1B4FD459" w14:textId="77777777" w:rsidR="001F51C1" w:rsidRDefault="001F51C1" w:rsidP="001F51C1">
    <w:pPr>
      <w:framePr w:wrap="around" w:hAnchor="margin" w:yAlign="bottom"/>
      <w:suppressOverlap/>
      <w:rPr>
        <w:color w:val="B1B1B1" w:themeColor="text2"/>
        <w:sz w:val="16"/>
      </w:rPr>
    </w:pPr>
    <w:r w:rsidRPr="001A0EC3">
      <w:rPr>
        <w:color w:val="B1B1B1" w:themeColor="text2"/>
        <w:sz w:val="16"/>
      </w:rPr>
      <w:t>Storengy.com</w:t>
    </w:r>
  </w:p>
  <w:p w14:paraId="609214C6" w14:textId="77777777" w:rsidR="001F51C1" w:rsidRDefault="001F51C1" w:rsidP="001F51C1">
    <w:pPr>
      <w:pStyle w:val="Pieddepage"/>
      <w:framePr w:wrap="around" w:hAnchor="margin" w:yAlign="bottom"/>
      <w:suppressOverlap/>
    </w:pPr>
    <w:r>
      <w:rPr>
        <w:color w:val="B1B1B1" w:themeColor="text2"/>
        <w:sz w:val="16"/>
      </w:rPr>
      <w:t>STORENGY</w:t>
    </w:r>
    <w:r w:rsidRPr="001A0EC3">
      <w:rPr>
        <w:color w:val="B1B1B1" w:themeColor="text2"/>
        <w:sz w:val="16"/>
      </w:rPr>
      <w:t>- SA au capital de 344 941 670,03 euros - RCS Nanterre 487 650</w:t>
    </w:r>
    <w:r>
      <w:rPr>
        <w:color w:val="B1B1B1" w:themeColor="text2"/>
        <w:sz w:val="16"/>
      </w:rPr>
      <w:t> </w:t>
    </w:r>
    <w:r w:rsidRPr="001A0EC3">
      <w:rPr>
        <w:color w:val="B1B1B1" w:themeColor="text2"/>
        <w:sz w:val="16"/>
      </w:rPr>
      <w:t>632</w:t>
    </w:r>
  </w:p>
  <w:p w14:paraId="5F33E3D8" w14:textId="77777777" w:rsidR="001F51C1" w:rsidRPr="001A0EC3" w:rsidRDefault="001F51C1" w:rsidP="001F51C1">
    <w:pPr>
      <w:framePr w:wrap="around" w:hAnchor="margin" w:yAlign="bottom"/>
      <w:suppressOverlap/>
      <w:rPr>
        <w:color w:val="B1B1B1" w:themeColor="text2"/>
        <w:sz w:val="16"/>
      </w:rPr>
    </w:pPr>
  </w:p>
  <w:p w14:paraId="64B8AF3B" w14:textId="77777777" w:rsidR="00876AFF" w:rsidRDefault="00876AFF" w:rsidP="001F51C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275B81" w14:textId="77777777" w:rsidR="009268AE" w:rsidRDefault="009268AE" w:rsidP="00C645D0">
      <w:r>
        <w:separator/>
      </w:r>
    </w:p>
  </w:footnote>
  <w:footnote w:type="continuationSeparator" w:id="0">
    <w:p w14:paraId="2CEE1B03" w14:textId="77777777" w:rsidR="009268AE" w:rsidRDefault="009268AE" w:rsidP="00C645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4CD62" w14:textId="77777777" w:rsidR="00876AFF" w:rsidRDefault="00876AFF" w:rsidP="00373765">
    <w:pPr>
      <w:pStyle w:val="En-tte"/>
      <w:spacing w:line="28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BA3C7" w14:textId="77777777" w:rsidR="00E92655" w:rsidRDefault="008E5B6D">
    <w:pPr>
      <w:pStyle w:val="En-tte"/>
    </w:pPr>
    <w:r>
      <w:rPr>
        <w:noProof/>
        <w:lang w:eastAsia="fr-FR"/>
      </w:rPr>
      <w:drawing>
        <wp:anchor distT="0" distB="0" distL="114300" distR="114300" simplePos="0" relativeHeight="251658240" behindDoc="1" locked="0" layoutInCell="1" allowOverlap="1" wp14:anchorId="5FA8F3DD" wp14:editId="6FA05D78">
          <wp:simplePos x="0" y="0"/>
          <wp:positionH relativeFrom="page">
            <wp:posOffset>609600</wp:posOffset>
          </wp:positionH>
          <wp:positionV relativeFrom="page">
            <wp:posOffset>171450</wp:posOffset>
          </wp:positionV>
          <wp:extent cx="2476500" cy="102933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logo_couleur.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476500" cy="1029335"/>
                  </a:xfrm>
                  <a:prstGeom prst="rect">
                    <a:avLst/>
                  </a:prstGeom>
                </pic:spPr>
              </pic:pic>
            </a:graphicData>
          </a:graphic>
          <wp14:sizeRelH relativeFrom="margin">
            <wp14:pctWidth>0</wp14:pctWidth>
          </wp14:sizeRelH>
          <wp14:sizeRelV relativeFrom="margin">
            <wp14:pctHeight>0</wp14:pctHeight>
          </wp14:sizeRelV>
        </wp:anchor>
      </w:drawing>
    </w:r>
  </w:p>
  <w:p w14:paraId="2347126A" w14:textId="77777777" w:rsidR="00E92655" w:rsidRDefault="00E92655">
    <w:pPr>
      <w:pStyle w:val="En-tte"/>
    </w:pPr>
  </w:p>
  <w:p w14:paraId="789A2F91" w14:textId="77777777" w:rsidR="00E92655" w:rsidRDefault="00E92655">
    <w:pPr>
      <w:pStyle w:val="En-tte"/>
    </w:pPr>
  </w:p>
  <w:p w14:paraId="4E1FBD52" w14:textId="77777777" w:rsidR="00E92655" w:rsidRDefault="00E92655">
    <w:pPr>
      <w:pStyle w:val="En-tte"/>
    </w:pPr>
  </w:p>
  <w:p w14:paraId="32AEBF24" w14:textId="77777777" w:rsidR="00876AFF" w:rsidRPr="008F1A3C" w:rsidRDefault="00876AFF" w:rsidP="00915D76">
    <w:pPr>
      <w:pStyle w:val="En-tte"/>
      <w:spacing w:line="280"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doNotShadeFormData/>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B6D"/>
    <w:rsid w:val="00025D53"/>
    <w:rsid w:val="00047F75"/>
    <w:rsid w:val="00092EC7"/>
    <w:rsid w:val="000A703F"/>
    <w:rsid w:val="000C31FA"/>
    <w:rsid w:val="000C3854"/>
    <w:rsid w:val="000F1144"/>
    <w:rsid w:val="000F53CA"/>
    <w:rsid w:val="00104884"/>
    <w:rsid w:val="00134C3B"/>
    <w:rsid w:val="00142E86"/>
    <w:rsid w:val="001509CC"/>
    <w:rsid w:val="00154636"/>
    <w:rsid w:val="0017597A"/>
    <w:rsid w:val="00180845"/>
    <w:rsid w:val="001A0EC3"/>
    <w:rsid w:val="001A20D7"/>
    <w:rsid w:val="001B5C20"/>
    <w:rsid w:val="001C2105"/>
    <w:rsid w:val="001E0C70"/>
    <w:rsid w:val="001F51C1"/>
    <w:rsid w:val="00230C27"/>
    <w:rsid w:val="00237B05"/>
    <w:rsid w:val="002422ED"/>
    <w:rsid w:val="00245FF3"/>
    <w:rsid w:val="00250CFD"/>
    <w:rsid w:val="00251656"/>
    <w:rsid w:val="002603B7"/>
    <w:rsid w:val="00270760"/>
    <w:rsid w:val="0028496B"/>
    <w:rsid w:val="00286124"/>
    <w:rsid w:val="002A4CEE"/>
    <w:rsid w:val="002D342E"/>
    <w:rsid w:val="002E3CBA"/>
    <w:rsid w:val="00313A7C"/>
    <w:rsid w:val="003557C7"/>
    <w:rsid w:val="00365C31"/>
    <w:rsid w:val="00373765"/>
    <w:rsid w:val="003742B6"/>
    <w:rsid w:val="0037617F"/>
    <w:rsid w:val="003C2549"/>
    <w:rsid w:val="003D07F7"/>
    <w:rsid w:val="00403C7F"/>
    <w:rsid w:val="00423954"/>
    <w:rsid w:val="00425266"/>
    <w:rsid w:val="00450294"/>
    <w:rsid w:val="0045592C"/>
    <w:rsid w:val="004660A6"/>
    <w:rsid w:val="00475B72"/>
    <w:rsid w:val="004936A0"/>
    <w:rsid w:val="00493B74"/>
    <w:rsid w:val="004A49F1"/>
    <w:rsid w:val="004C1D24"/>
    <w:rsid w:val="004D4389"/>
    <w:rsid w:val="004E54FB"/>
    <w:rsid w:val="0053743A"/>
    <w:rsid w:val="005B5A29"/>
    <w:rsid w:val="005E5DC3"/>
    <w:rsid w:val="005F1D42"/>
    <w:rsid w:val="005F4FD1"/>
    <w:rsid w:val="006356BA"/>
    <w:rsid w:val="0067216C"/>
    <w:rsid w:val="00687EB0"/>
    <w:rsid w:val="0069359E"/>
    <w:rsid w:val="006B4F84"/>
    <w:rsid w:val="006E170E"/>
    <w:rsid w:val="006F532F"/>
    <w:rsid w:val="007213D3"/>
    <w:rsid w:val="00730F2D"/>
    <w:rsid w:val="007338BD"/>
    <w:rsid w:val="007A50D7"/>
    <w:rsid w:val="00812B04"/>
    <w:rsid w:val="00815C8A"/>
    <w:rsid w:val="00827781"/>
    <w:rsid w:val="00850862"/>
    <w:rsid w:val="008518B6"/>
    <w:rsid w:val="008533AD"/>
    <w:rsid w:val="00876AFF"/>
    <w:rsid w:val="00880531"/>
    <w:rsid w:val="0088357C"/>
    <w:rsid w:val="008C7D35"/>
    <w:rsid w:val="008E5B6D"/>
    <w:rsid w:val="008E6D65"/>
    <w:rsid w:val="008F1A3C"/>
    <w:rsid w:val="008F657C"/>
    <w:rsid w:val="00915D76"/>
    <w:rsid w:val="009268AE"/>
    <w:rsid w:val="00967D8B"/>
    <w:rsid w:val="00990B36"/>
    <w:rsid w:val="00991A87"/>
    <w:rsid w:val="009945B9"/>
    <w:rsid w:val="009A0FD1"/>
    <w:rsid w:val="009C478B"/>
    <w:rsid w:val="009E1DBC"/>
    <w:rsid w:val="009F40AD"/>
    <w:rsid w:val="00A44285"/>
    <w:rsid w:val="00A621CF"/>
    <w:rsid w:val="00A856F6"/>
    <w:rsid w:val="00AA7C15"/>
    <w:rsid w:val="00AF5EF8"/>
    <w:rsid w:val="00B2613A"/>
    <w:rsid w:val="00B36FC3"/>
    <w:rsid w:val="00B41656"/>
    <w:rsid w:val="00BA7A3E"/>
    <w:rsid w:val="00BC2D36"/>
    <w:rsid w:val="00BF7AA1"/>
    <w:rsid w:val="00C1073E"/>
    <w:rsid w:val="00C11A60"/>
    <w:rsid w:val="00C262D4"/>
    <w:rsid w:val="00C44656"/>
    <w:rsid w:val="00C645D0"/>
    <w:rsid w:val="00C80D35"/>
    <w:rsid w:val="00C819B3"/>
    <w:rsid w:val="00C859F8"/>
    <w:rsid w:val="00C92FCA"/>
    <w:rsid w:val="00C948A7"/>
    <w:rsid w:val="00CB3E03"/>
    <w:rsid w:val="00CC4CEA"/>
    <w:rsid w:val="00CD3A8A"/>
    <w:rsid w:val="00D20C0D"/>
    <w:rsid w:val="00D2459A"/>
    <w:rsid w:val="00D500EF"/>
    <w:rsid w:val="00D61330"/>
    <w:rsid w:val="00D632FA"/>
    <w:rsid w:val="00D7005D"/>
    <w:rsid w:val="00D7427B"/>
    <w:rsid w:val="00DC0861"/>
    <w:rsid w:val="00DC1447"/>
    <w:rsid w:val="00DC25AE"/>
    <w:rsid w:val="00DC2C7F"/>
    <w:rsid w:val="00DC7C0E"/>
    <w:rsid w:val="00E83F12"/>
    <w:rsid w:val="00E90E65"/>
    <w:rsid w:val="00E92655"/>
    <w:rsid w:val="00EE7D24"/>
    <w:rsid w:val="00F00095"/>
    <w:rsid w:val="00F54084"/>
    <w:rsid w:val="00F736AE"/>
    <w:rsid w:val="00F96490"/>
    <w:rsid w:val="00FC3273"/>
    <w:rsid w:val="00FC338D"/>
    <w:rsid w:val="00FF4ED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3092830"/>
  <w15:docId w15:val="{F14DE86A-8204-4716-B01E-93476838F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0760"/>
    <w:pPr>
      <w:spacing w:after="0" w:line="240" w:lineRule="atLeast"/>
    </w:pPr>
    <w:rPr>
      <w:color w:val="424242" w:themeColor="background2"/>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D500EF"/>
    <w:pPr>
      <w:spacing w:after="0" w:line="240" w:lineRule="exact"/>
    </w:pPr>
    <w:rPr>
      <w:sz w:val="20"/>
    </w:rPr>
  </w:style>
  <w:style w:type="character" w:customStyle="1" w:styleId="En-tteCar">
    <w:name w:val="En-tête Car"/>
    <w:basedOn w:val="Policepardfaut"/>
    <w:link w:val="En-tte"/>
    <w:uiPriority w:val="99"/>
    <w:rsid w:val="00D500EF"/>
    <w:rPr>
      <w:sz w:val="20"/>
    </w:rPr>
  </w:style>
  <w:style w:type="paragraph" w:styleId="Pieddepage">
    <w:name w:val="footer"/>
    <w:link w:val="PieddepageCar"/>
    <w:uiPriority w:val="99"/>
    <w:rsid w:val="00D500EF"/>
    <w:pPr>
      <w:spacing w:after="0" w:line="240" w:lineRule="exact"/>
    </w:pPr>
    <w:rPr>
      <w:sz w:val="20"/>
    </w:rPr>
  </w:style>
  <w:style w:type="character" w:customStyle="1" w:styleId="PieddepageCar">
    <w:name w:val="Pied de page Car"/>
    <w:basedOn w:val="Policepardfaut"/>
    <w:link w:val="Pieddepage"/>
    <w:uiPriority w:val="99"/>
    <w:rsid w:val="00D500EF"/>
    <w:rPr>
      <w:sz w:val="20"/>
    </w:rPr>
  </w:style>
  <w:style w:type="paragraph" w:styleId="Textedebulles">
    <w:name w:val="Balloon Text"/>
    <w:basedOn w:val="Normal"/>
    <w:link w:val="TextedebullesCar"/>
    <w:uiPriority w:val="99"/>
    <w:semiHidden/>
    <w:rsid w:val="00FC338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C338D"/>
    <w:rPr>
      <w:rFonts w:ascii="Tahoma" w:hAnsi="Tahoma" w:cs="Tahoma"/>
      <w:sz w:val="16"/>
      <w:szCs w:val="16"/>
    </w:rPr>
  </w:style>
  <w:style w:type="table" w:styleId="Grilledutableau">
    <w:name w:val="Table Grid"/>
    <w:basedOn w:val="TableauNormal"/>
    <w:uiPriority w:val="59"/>
    <w:rsid w:val="00FC33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gnaturedudocument">
    <w:name w:val="Signature du document"/>
    <w:basedOn w:val="Normal"/>
    <w:qFormat/>
    <w:rsid w:val="00047F75"/>
    <w:pPr>
      <w:ind w:left="5387"/>
    </w:pPr>
  </w:style>
  <w:style w:type="paragraph" w:customStyle="1" w:styleId="Adressebasdepage">
    <w:name w:val="Adresse bas de page"/>
    <w:basedOn w:val="Normal"/>
    <w:qFormat/>
    <w:rsid w:val="00C819B3"/>
    <w:pPr>
      <w:framePr w:wrap="around" w:hAnchor="margin" w:yAlign="bottom"/>
      <w:spacing w:line="200" w:lineRule="atLeast"/>
      <w:suppressOverlap/>
    </w:pPr>
    <w:rPr>
      <w:color w:val="B1B1B1" w:themeColor="text2"/>
      <w:sz w:val="16"/>
    </w:rPr>
  </w:style>
  <w:style w:type="paragraph" w:customStyle="1" w:styleId="Mentionslgalesbasdepage">
    <w:name w:val="Mentions légales bas de page"/>
    <w:basedOn w:val="Adressebasdepage"/>
    <w:qFormat/>
    <w:rsid w:val="003D07F7"/>
    <w:pPr>
      <w:framePr w:wrap="around"/>
      <w:spacing w:line="180" w:lineRule="atLeast"/>
    </w:pPr>
    <w:rPr>
      <w:sz w:val="14"/>
    </w:rPr>
  </w:style>
  <w:style w:type="paragraph" w:customStyle="1" w:styleId="DirectionPlebasdepage">
    <w:name w:val="Direction/Pôle bas de page"/>
    <w:basedOn w:val="Adressebasdepage"/>
    <w:qFormat/>
    <w:rsid w:val="00C819B3"/>
    <w:pPr>
      <w:framePr w:wrap="around"/>
      <w:spacing w:after="60"/>
    </w:pPr>
    <w:rPr>
      <w:b/>
    </w:rPr>
  </w:style>
  <w:style w:type="paragraph" w:customStyle="1" w:styleId="Adresseinternetbasdepage">
    <w:name w:val="Adresse internet bas de page"/>
    <w:basedOn w:val="Adressebasdepage"/>
    <w:qFormat/>
    <w:rsid w:val="000C31FA"/>
    <w:pPr>
      <w:framePr w:wrap="around"/>
      <w:spacing w:after="60"/>
    </w:pPr>
    <w:rPr>
      <w:b/>
    </w:rPr>
  </w:style>
  <w:style w:type="paragraph" w:customStyle="1" w:styleId="Socitbasdepage">
    <w:name w:val="Société bas de page"/>
    <w:basedOn w:val="Adressebasdepage"/>
    <w:qFormat/>
    <w:rsid w:val="00C819B3"/>
    <w:pPr>
      <w:framePr w:wrap="around"/>
    </w:pPr>
    <w:rPr>
      <w:b/>
    </w:rPr>
  </w:style>
  <w:style w:type="character" w:customStyle="1" w:styleId="Bold">
    <w:name w:val="Bold"/>
    <w:basedOn w:val="Policepardfaut"/>
    <w:uiPriority w:val="1"/>
    <w:qFormat/>
    <w:rsid w:val="001E0C70"/>
    <w:rPr>
      <w:b/>
      <w:lang w:val="en-US"/>
    </w:rPr>
  </w:style>
  <w:style w:type="paragraph" w:customStyle="1" w:styleId="Intituldroite">
    <w:name w:val="Intitulé droite"/>
    <w:basedOn w:val="Normal"/>
    <w:qFormat/>
    <w:rsid w:val="00FC3273"/>
    <w:pPr>
      <w:spacing w:line="260" w:lineRule="exact"/>
      <w:jc w:val="right"/>
    </w:pPr>
    <w:rPr>
      <w:b/>
      <w:sz w:val="22"/>
    </w:rPr>
  </w:style>
  <w:style w:type="paragraph" w:customStyle="1" w:styleId="Casescocher">
    <w:name w:val="Cases à cocher"/>
    <w:basedOn w:val="Normal"/>
    <w:qFormat/>
    <w:rsid w:val="00FC3273"/>
    <w:pPr>
      <w:spacing w:line="300" w:lineRule="atLeast"/>
      <w:jc w:val="center"/>
    </w:pPr>
    <w:rPr>
      <w:sz w:val="26"/>
    </w:rPr>
  </w:style>
  <w:style w:type="paragraph" w:customStyle="1" w:styleId="Intitulgauche">
    <w:name w:val="Intitulé gauche"/>
    <w:basedOn w:val="Intituldroite"/>
    <w:qFormat/>
    <w:rsid w:val="000A703F"/>
    <w:pPr>
      <w:jc w:val="left"/>
    </w:pPr>
  </w:style>
  <w:style w:type="paragraph" w:customStyle="1" w:styleId="Intitulbold">
    <w:name w:val="Intitulé bold"/>
    <w:qFormat/>
    <w:rsid w:val="00C645D0"/>
    <w:pPr>
      <w:spacing w:after="0" w:line="240" w:lineRule="atLeast"/>
    </w:pPr>
    <w:rPr>
      <w:b/>
      <w:color w:val="424242" w:themeColor="background2"/>
    </w:rPr>
  </w:style>
  <w:style w:type="paragraph" w:customStyle="1" w:styleId="Texteintitul">
    <w:name w:val="Texte intitulé"/>
    <w:qFormat/>
    <w:rsid w:val="00C645D0"/>
    <w:pPr>
      <w:spacing w:after="40" w:line="240" w:lineRule="atLeast"/>
    </w:pPr>
    <w:rPr>
      <w:b/>
      <w:color w:val="424242" w:themeColor="background2"/>
    </w:rPr>
  </w:style>
  <w:style w:type="paragraph" w:styleId="Titre">
    <w:name w:val="Title"/>
    <w:basedOn w:val="Normal"/>
    <w:next w:val="Normal"/>
    <w:link w:val="TitreCar"/>
    <w:uiPriority w:val="10"/>
    <w:qFormat/>
    <w:rsid w:val="00270760"/>
    <w:pPr>
      <w:spacing w:line="400" w:lineRule="exact"/>
      <w:contextualSpacing/>
    </w:pPr>
    <w:rPr>
      <w:rFonts w:asciiTheme="majorHAnsi" w:eastAsiaTheme="majorEastAsia" w:hAnsiTheme="majorHAnsi" w:cstheme="majorBidi"/>
      <w:b/>
      <w:color w:val="5F5F5F"/>
      <w:spacing w:val="5"/>
      <w:kern w:val="28"/>
      <w:sz w:val="32"/>
      <w:szCs w:val="32"/>
    </w:rPr>
  </w:style>
  <w:style w:type="character" w:customStyle="1" w:styleId="TitreCar">
    <w:name w:val="Titre Car"/>
    <w:basedOn w:val="Policepardfaut"/>
    <w:link w:val="Titre"/>
    <w:uiPriority w:val="10"/>
    <w:rsid w:val="00270760"/>
    <w:rPr>
      <w:rFonts w:asciiTheme="majorHAnsi" w:eastAsiaTheme="majorEastAsia" w:hAnsiTheme="majorHAnsi" w:cstheme="majorBidi"/>
      <w:b/>
      <w:color w:val="5F5F5F"/>
      <w:spacing w:val="5"/>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7851741">
      <w:bodyDiv w:val="1"/>
      <w:marLeft w:val="0"/>
      <w:marRight w:val="0"/>
      <w:marTop w:val="0"/>
      <w:marBottom w:val="0"/>
      <w:divBdr>
        <w:top w:val="none" w:sz="0" w:space="0" w:color="auto"/>
        <w:left w:val="none" w:sz="0" w:space="0" w:color="auto"/>
        <w:bottom w:val="none" w:sz="0" w:space="0" w:color="auto"/>
        <w:right w:val="none" w:sz="0" w:space="0" w:color="auto"/>
      </w:divBdr>
    </w:div>
    <w:div w:id="1566137766">
      <w:bodyDiv w:val="1"/>
      <w:marLeft w:val="0"/>
      <w:marRight w:val="0"/>
      <w:marTop w:val="0"/>
      <w:marBottom w:val="0"/>
      <w:divBdr>
        <w:top w:val="none" w:sz="0" w:space="0" w:color="auto"/>
        <w:left w:val="none" w:sz="0" w:space="0" w:color="auto"/>
        <w:bottom w:val="none" w:sz="0" w:space="0" w:color="auto"/>
        <w:right w:val="none" w:sz="0" w:space="0" w:color="auto"/>
      </w:divBdr>
    </w:div>
    <w:div w:id="1974751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S1148\Desktop\modeles%20bureautique%20ENGIE\compte_rendu.dotx" TargetMode="External"/></Relationships>
</file>

<file path=word/theme/theme1.xml><?xml version="1.0" encoding="utf-8"?>
<a:theme xmlns:a="http://schemas.openxmlformats.org/drawingml/2006/main" name="Thème Office">
  <a:themeElements>
    <a:clrScheme name="ENGIE">
      <a:dk1>
        <a:sysClr val="windowText" lastClr="000000"/>
      </a:dk1>
      <a:lt1>
        <a:sysClr val="window" lastClr="FFFFFF"/>
      </a:lt1>
      <a:dk2>
        <a:srgbClr val="B1B1B1"/>
      </a:dk2>
      <a:lt2>
        <a:srgbClr val="424242"/>
      </a:lt2>
      <a:accent1>
        <a:srgbClr val="00AAFF"/>
      </a:accent1>
      <a:accent2>
        <a:srgbClr val="0078BE"/>
      </a:accent2>
      <a:accent3>
        <a:srgbClr val="910F7D"/>
      </a:accent3>
      <a:accent4>
        <a:srgbClr val="F07D00"/>
      </a:accent4>
      <a:accent5>
        <a:srgbClr val="E62D87"/>
      </a:accent5>
      <a:accent6>
        <a:srgbClr val="007873"/>
      </a:accent6>
      <a:hlink>
        <a:srgbClr val="000000"/>
      </a:hlink>
      <a:folHlink>
        <a:srgbClr val="000000"/>
      </a:folHlink>
    </a:clrScheme>
    <a:fontScheme name="ENGI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74558EA3A73A409A1F631E414C6569" ma:contentTypeVersion="1" ma:contentTypeDescription="Create a new document." ma:contentTypeScope="" ma:versionID="c3f6d3efcc17acba02854f79ffbb846e">
  <xsd:schema xmlns:xsd="http://www.w3.org/2001/XMLSchema" xmlns:p="http://schemas.microsoft.com/office/2006/metadata/properties" xmlns:ns1="http://schemas.microsoft.com/sharepoint/v3" targetNamespace="http://schemas.microsoft.com/office/2006/metadata/properties" ma:root="true" ma:fieldsID="fbdd6a800072e5f8a439e6fc6c76a119"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Date de début de planification" ma:description="" ma:hidden="true" ma:internalName="PublishingStartDate">
      <xsd:simpleType>
        <xsd:restriction base="dms:Unknown"/>
      </xsd:simpleType>
    </xsd:element>
    <xsd:element name="PublishingExpirationDate" ma:index="9" nillable="true" ma:displayName="Date de fin de planification"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C1C2A3-6139-4415-AF6C-EBBBD34B414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7080B6BA-ECBF-464E-BFAE-9085EF837045}">
  <ds:schemaRefs>
    <ds:schemaRef ds:uri="http://schemas.microsoft.com/sharepoint/v3/contenttype/forms"/>
  </ds:schemaRefs>
</ds:datastoreItem>
</file>

<file path=customXml/itemProps3.xml><?xml version="1.0" encoding="utf-8"?>
<ds:datastoreItem xmlns:ds="http://schemas.openxmlformats.org/officeDocument/2006/customXml" ds:itemID="{4F8A9149-10D6-42DE-992E-BA5C3D1A7B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11E0250-3529-4928-ACF0-9D348CE84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compte_rendu</Template>
  <TotalTime>0</TotalTime>
  <Pages>1</Pages>
  <Words>353</Words>
  <Characters>1942</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Modèle de compte-rendu</vt:lpstr>
    </vt:vector>
  </TitlesOfParts>
  <Manager>ENGIE</Manager>
  <Company>ENGIE</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compte-rendu</dc:title>
  <dc:subject>ENGIE</dc:subject>
  <dc:creator>LEDOUX Delphine</dc:creator>
  <cp:lastModifiedBy>MILLET Frederic (Storengy France)</cp:lastModifiedBy>
  <cp:revision>3</cp:revision>
  <cp:lastPrinted>2018-06-28T11:30:00Z</cp:lastPrinted>
  <dcterms:created xsi:type="dcterms:W3CDTF">2018-11-20T13:56:00Z</dcterms:created>
  <dcterms:modified xsi:type="dcterms:W3CDTF">2018-11-20T13:56:00Z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0x0101009C74558EA3A73A409A1F631E414C6569</vt:lpwstr>
  </property>
  <property fmtid="{D5CDD505-2E9C-101B-9397-08002B2CF9AE}" pid="3" name="Security Classification">
    <vt:lpwstr/>
  </property>
  <property fmtid="{D5CDD505-2E9C-101B-9397-08002B2CF9AE}" pid="4" name="b1b820adfd3e4a078472514c1a5cb5ff">
    <vt:lpwstr/>
  </property>
</Properties>
</file>