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724" w:rsidRPr="00360A9B" w:rsidRDefault="009D4724">
      <w:pPr>
        <w:rPr>
          <w:b/>
          <w:i/>
        </w:rPr>
      </w:pPr>
      <w:bookmarkStart w:id="0" w:name="_GoBack"/>
      <w:bookmarkEnd w:id="0"/>
      <w:r w:rsidRPr="00360A9B">
        <w:rPr>
          <w:b/>
          <w:i/>
        </w:rPr>
        <w:t>LE CONSTAT</w:t>
      </w:r>
    </w:p>
    <w:p w:rsidR="009D4724" w:rsidRDefault="001328F2" w:rsidP="009D4724">
      <w:pPr>
        <w:spacing w:after="120"/>
        <w:ind w:firstLine="709"/>
        <w:jc w:val="both"/>
      </w:pPr>
      <w:r>
        <w:t xml:space="preserve">En </w:t>
      </w:r>
      <w:r w:rsidR="009D4724">
        <w:t>substance</w:t>
      </w:r>
      <w:r>
        <w:t>, il est indiqué</w:t>
      </w:r>
      <w:r w:rsidR="009D4724">
        <w:t xml:space="preserve"> que « ni la législation, ni la règlementation n’encadrent efficacement » la relation entre la collectivité en charge de l’urbanisme et le gestionnaire de</w:t>
      </w:r>
      <w:r w:rsidRPr="001328F2">
        <w:t xml:space="preserve"> </w:t>
      </w:r>
      <w:r>
        <w:t>réseaux publics de distribution électrique</w:t>
      </w:r>
      <w:r w:rsidR="009D4724">
        <w:t>.</w:t>
      </w:r>
    </w:p>
    <w:p w:rsidR="009D4724" w:rsidRDefault="00FE4F48" w:rsidP="009D4724">
      <w:pPr>
        <w:spacing w:after="120"/>
        <w:ind w:firstLine="709"/>
        <w:jc w:val="both"/>
      </w:pPr>
      <w:r>
        <w:t>Le constat</w:t>
      </w:r>
      <w:r w:rsidR="00EC4380">
        <w:t xml:space="preserve"> de cette relation</w:t>
      </w:r>
      <w:r>
        <w:t xml:space="preserve"> est celui de l’échec de l’application de la taxe d’</w:t>
      </w:r>
      <w:r w:rsidR="009D4724">
        <w:t>aménagement,</w:t>
      </w:r>
      <w:r w:rsidR="009D4724" w:rsidRPr="009D4724">
        <w:t xml:space="preserve"> </w:t>
      </w:r>
      <w:r w:rsidR="009D4724">
        <w:t>échec récurent depuis la TLE jusqu’à la PVR en passant par la PVNR et qui n’établit pas clairement les besoins financiers relatifs aux</w:t>
      </w:r>
      <w:r w:rsidR="009D4724" w:rsidRPr="009D4724">
        <w:t xml:space="preserve"> </w:t>
      </w:r>
      <w:r w:rsidR="009D4724">
        <w:t>réseaux publics de distribution électrique</w:t>
      </w:r>
      <w:r w:rsidR="001328F2">
        <w:t>, pas plus que ceux relatifs aux autres réseaux et voiries</w:t>
      </w:r>
      <w:r w:rsidR="009D4724">
        <w:t>.</w:t>
      </w:r>
    </w:p>
    <w:p w:rsidR="00741DF2" w:rsidRDefault="001328F2" w:rsidP="009D4724">
      <w:pPr>
        <w:spacing w:after="120"/>
        <w:ind w:firstLine="709"/>
        <w:jc w:val="both"/>
      </w:pPr>
      <w:r>
        <w:t>Il suffit d’</w:t>
      </w:r>
      <w:r w:rsidR="00741DF2">
        <w:t>observe</w:t>
      </w:r>
      <w:r>
        <w:t>r</w:t>
      </w:r>
      <w:r w:rsidR="00741DF2">
        <w:t xml:space="preserve"> que les </w:t>
      </w:r>
      <w:r>
        <w:t>collectivités</w:t>
      </w:r>
      <w:r w:rsidR="00741DF2">
        <w:t xml:space="preserve"> en charge de </w:t>
      </w:r>
      <w:r w:rsidR="002B57A1">
        <w:t>l’urbanisme</w:t>
      </w:r>
      <w:r w:rsidR="00741DF2">
        <w:t xml:space="preserve"> ont adopté </w:t>
      </w:r>
      <w:r w:rsidR="00EC4380">
        <w:t xml:space="preserve">dans leur quasi-totalité </w:t>
      </w:r>
      <w:r w:rsidR="00741DF2">
        <w:t>un taux qui varie entre 1 et 4 %</w:t>
      </w:r>
      <w:r w:rsidR="00EC4380">
        <w:t xml:space="preserve">, </w:t>
      </w:r>
      <w:r w:rsidR="002B57A1">
        <w:t>négligeant ceux de</w:t>
      </w:r>
      <w:r w:rsidR="00EC4380">
        <w:t xml:space="preserve"> 6 à 20 %,</w:t>
      </w:r>
      <w:r w:rsidR="002B57A1">
        <w:t xml:space="preserve"> applicables</w:t>
      </w:r>
      <w:r w:rsidR="00EC4380">
        <w:t xml:space="preserve"> à la taxe d’aménagement opérationnelle.</w:t>
      </w:r>
    </w:p>
    <w:p w:rsidR="00EC4380" w:rsidRDefault="00EC4380" w:rsidP="009D4724">
      <w:pPr>
        <w:spacing w:after="120"/>
        <w:ind w:firstLine="709"/>
        <w:jc w:val="both"/>
      </w:pPr>
      <w:r>
        <w:t>Autrement dit</w:t>
      </w:r>
      <w:r w:rsidR="002B57A1">
        <w:t>, elles</w:t>
      </w:r>
      <w:r>
        <w:t xml:space="preserve"> ne disposent pas des moyens d’études nécessaires pour établir des dossiers techniques de nature à chiffrer </w:t>
      </w:r>
      <w:r w:rsidR="002B57A1">
        <w:t>une opération dans son ensemble et d’établir une prévision budgétaire des dépenses</w:t>
      </w:r>
      <w:r>
        <w:t>.</w:t>
      </w:r>
      <w:r w:rsidR="005038F3">
        <w:t xml:space="preserve"> </w:t>
      </w:r>
      <w:r w:rsidR="002B57A1">
        <w:t xml:space="preserve">Il en résulte qu’elles sont dans l’incapacité de prendre en </w:t>
      </w:r>
      <w:r>
        <w:t>charge financièrement les coûts relatifs aux réseaux et voiries diverses</w:t>
      </w:r>
      <w:r w:rsidR="002B57A1">
        <w:t xml:space="preserve"> et notamment ceux </w:t>
      </w:r>
      <w:r w:rsidR="00463FDE">
        <w:t>relatif au raccordement</w:t>
      </w:r>
      <w:r w:rsidR="002B57A1">
        <w:t>.</w:t>
      </w:r>
      <w:r>
        <w:t xml:space="preserve"> </w:t>
      </w:r>
    </w:p>
    <w:p w:rsidR="002B57A1" w:rsidRDefault="00741DF2" w:rsidP="009D4724">
      <w:pPr>
        <w:spacing w:after="120"/>
        <w:ind w:firstLine="709"/>
        <w:jc w:val="both"/>
      </w:pPr>
      <w:r>
        <w:t xml:space="preserve">L’esprit de la rédaction de </w:t>
      </w:r>
      <w:r w:rsidR="00EC4380">
        <w:t xml:space="preserve">la </w:t>
      </w:r>
      <w:r w:rsidR="002B57A1">
        <w:t>taxe d’aménagement était</w:t>
      </w:r>
      <w:r>
        <w:t xml:space="preserve"> que le financement des voiries et réseaux </w:t>
      </w:r>
      <w:r w:rsidR="00EC4380">
        <w:t xml:space="preserve">divers </w:t>
      </w:r>
      <w:r>
        <w:t xml:space="preserve">reposerait sur </w:t>
      </w:r>
      <w:r w:rsidR="00EC4380">
        <w:t>le produit de la taxe</w:t>
      </w:r>
      <w:r w:rsidR="002B57A1">
        <w:t>.</w:t>
      </w:r>
      <w:r w:rsidR="00787063">
        <w:t xml:space="preserve"> </w:t>
      </w:r>
      <w:r w:rsidR="002B57A1">
        <w:t>Le mécanisme est grippé voire dévoyé</w:t>
      </w:r>
      <w:r w:rsidR="00EC4380">
        <w:t xml:space="preserve">, </w:t>
      </w:r>
      <w:r w:rsidR="002B57A1">
        <w:t>à tel point qu’une incertitude juridique et financière plane sur le gestionnaire de réseaux.</w:t>
      </w:r>
    </w:p>
    <w:p w:rsidR="002B57A1" w:rsidRPr="00360A9B" w:rsidRDefault="007E315B" w:rsidP="002B57A1">
      <w:pPr>
        <w:spacing w:after="120"/>
        <w:jc w:val="both"/>
        <w:rPr>
          <w:b/>
          <w:i/>
        </w:rPr>
      </w:pPr>
      <w:r>
        <w:rPr>
          <w:b/>
          <w:i/>
        </w:rPr>
        <w:t>LES DEUX</w:t>
      </w:r>
      <w:r w:rsidR="00463FDE" w:rsidRPr="00360A9B">
        <w:rPr>
          <w:b/>
          <w:i/>
        </w:rPr>
        <w:t xml:space="preserve"> PROPOSITIONS</w:t>
      </w:r>
    </w:p>
    <w:p w:rsidR="00463FDE" w:rsidRDefault="00463FDE" w:rsidP="002B57A1">
      <w:pPr>
        <w:spacing w:after="120"/>
        <w:jc w:val="both"/>
      </w:pPr>
      <w:r w:rsidRPr="00360A9B">
        <w:rPr>
          <w:b/>
          <w:i/>
        </w:rPr>
        <w:t xml:space="preserve">PRIMO : </w:t>
      </w:r>
      <w:r w:rsidR="00E13154" w:rsidRPr="00360A9B">
        <w:rPr>
          <w:b/>
          <w:i/>
        </w:rPr>
        <w:t>le gestionnaire de réseaux</w:t>
      </w:r>
      <w:r w:rsidR="00E13154">
        <w:t xml:space="preserve">, </w:t>
      </w:r>
      <w:r w:rsidR="0025468D" w:rsidRPr="0025468D">
        <w:rPr>
          <w:b/>
          <w:i/>
        </w:rPr>
        <w:t>ou l’AODE en charge de la MOA</w:t>
      </w:r>
      <w:r w:rsidR="0025468D" w:rsidRPr="0025468D">
        <w:rPr>
          <w:b/>
        </w:rPr>
        <w:t>, à partir d’un canevas technique et des prix moyens</w:t>
      </w:r>
      <w:r w:rsidRPr="0025468D">
        <w:rPr>
          <w:b/>
        </w:rPr>
        <w:t>,</w:t>
      </w:r>
      <w:r>
        <w:t xml:space="preserve"> établit des barèmes de prix de raccordement dont la publicité est </w:t>
      </w:r>
      <w:r w:rsidR="00E13154">
        <w:t xml:space="preserve">règlementairement </w:t>
      </w:r>
      <w:r>
        <w:t>assurée par ses soins tant auprès de la collectivité en charge de l’urbanisme que des pétitionnaires.</w:t>
      </w:r>
    </w:p>
    <w:p w:rsidR="00E13154" w:rsidRDefault="00B7296F" w:rsidP="00787063">
      <w:pPr>
        <w:spacing w:after="120"/>
        <w:ind w:firstLine="709"/>
        <w:jc w:val="both"/>
      </w:pPr>
      <w:r>
        <w:t>Il</w:t>
      </w:r>
      <w:r w:rsidR="00463FDE">
        <w:t xml:space="preserve"> instruit les demandes </w:t>
      </w:r>
      <w:r>
        <w:t xml:space="preserve">qui lui sont adressées </w:t>
      </w:r>
      <w:r w:rsidR="00463FDE">
        <w:t xml:space="preserve">dans le cadre réglementaire et dans les délais qui lui sont imposés, l’application d’un barème lui permettant de s’y conformer ; il établit </w:t>
      </w:r>
      <w:r w:rsidR="00360A9B">
        <w:t xml:space="preserve">les quantités ou longueur ainsi que </w:t>
      </w:r>
      <w:r w:rsidR="00463FDE">
        <w:t>des réserves</w:t>
      </w:r>
      <w:r w:rsidR="00360A9B">
        <w:t> :</w:t>
      </w:r>
      <w:r w:rsidR="00463FDE">
        <w:t xml:space="preserve"> par exemple les servitudes de passage qui sont une contrainte objective de nature à changer son </w:t>
      </w:r>
      <w:r w:rsidR="00E13154">
        <w:t>avant-projet</w:t>
      </w:r>
      <w:r w:rsidR="00463FDE">
        <w:t xml:space="preserve"> de </w:t>
      </w:r>
      <w:r w:rsidR="00E13154">
        <w:t>raccordement</w:t>
      </w:r>
      <w:r w:rsidR="00360A9B">
        <w:t>,</w:t>
      </w:r>
      <w:r w:rsidR="00463FDE">
        <w:t xml:space="preserve"> mais toujours </w:t>
      </w:r>
      <w:r w:rsidR="00787063">
        <w:t>à partir</w:t>
      </w:r>
      <w:r w:rsidR="00E13154">
        <w:t xml:space="preserve"> du barè</w:t>
      </w:r>
      <w:r w:rsidR="00463FDE">
        <w:t>me</w:t>
      </w:r>
      <w:r w:rsidR="00360A9B">
        <w:t xml:space="preserve"> applicable à l’opération</w:t>
      </w:r>
      <w:r w:rsidR="00463FDE">
        <w:t>.</w:t>
      </w:r>
      <w:r w:rsidR="00787063">
        <w:t xml:space="preserve"> </w:t>
      </w:r>
      <w:r w:rsidR="00E13154">
        <w:t xml:space="preserve">Cette étape ne soulève aucune difficulté pour le gestionnaire de réseaux </w:t>
      </w:r>
      <w:r w:rsidR="00360A9B">
        <w:t>dont c’est la</w:t>
      </w:r>
      <w:r w:rsidR="00E13154">
        <w:t xml:space="preserve"> mission.</w:t>
      </w:r>
    </w:p>
    <w:p w:rsidR="00360A9B" w:rsidRDefault="00463FDE" w:rsidP="00360A9B">
      <w:pPr>
        <w:spacing w:after="120"/>
        <w:jc w:val="both"/>
      </w:pPr>
      <w:r w:rsidRPr="00360A9B">
        <w:rPr>
          <w:b/>
          <w:i/>
        </w:rPr>
        <w:t>SECUNDO :</w:t>
      </w:r>
      <w:r w:rsidR="00E13154" w:rsidRPr="00360A9B">
        <w:rPr>
          <w:b/>
          <w:i/>
        </w:rPr>
        <w:t xml:space="preserve"> la collectivité en charge de l’urbanisme</w:t>
      </w:r>
      <w:r w:rsidR="00E13154">
        <w:t xml:space="preserve"> délivre dans un arrêté au pétitionnaire une autorisation d’urbanisme qui stipule </w:t>
      </w:r>
      <w:r w:rsidR="00787063">
        <w:t xml:space="preserve">dans sa rédaction </w:t>
      </w:r>
      <w:r w:rsidR="00E13154">
        <w:t>le barème auquel il est fait référence et les moyens de son financement</w:t>
      </w:r>
      <w:r w:rsidR="00360A9B">
        <w:t>.</w:t>
      </w:r>
    </w:p>
    <w:p w:rsidR="007E315B" w:rsidRDefault="007E315B" w:rsidP="007E315B">
      <w:pPr>
        <w:spacing w:after="120"/>
        <w:ind w:firstLine="709"/>
        <w:jc w:val="both"/>
      </w:pPr>
      <w:r>
        <w:t>C</w:t>
      </w:r>
      <w:r w:rsidR="00E13154">
        <w:t xml:space="preserve">’est ici précisément </w:t>
      </w:r>
      <w:r w:rsidR="00360A9B">
        <w:t xml:space="preserve">que prend place la recette </w:t>
      </w:r>
      <w:r w:rsidR="00787063">
        <w:t xml:space="preserve">attendue et </w:t>
      </w:r>
      <w:r w:rsidR="00360A9B">
        <w:t>issue de la taxe d’aménagement et le cas échéant une part complémentaire de son budget</w:t>
      </w:r>
      <w:r>
        <w:t xml:space="preserve">. </w:t>
      </w:r>
    </w:p>
    <w:p w:rsidR="00360A9B" w:rsidRDefault="007E315B" w:rsidP="00360A9B">
      <w:pPr>
        <w:spacing w:after="120"/>
        <w:jc w:val="both"/>
        <w:rPr>
          <w:b/>
        </w:rPr>
      </w:pPr>
      <w:r w:rsidRPr="007E315B">
        <w:rPr>
          <w:b/>
        </w:rPr>
        <w:t xml:space="preserve">CONCLUSION </w:t>
      </w:r>
    </w:p>
    <w:p w:rsidR="005038F3" w:rsidRDefault="00B7296F" w:rsidP="00E532A5">
      <w:pPr>
        <w:spacing w:after="120"/>
        <w:ind w:firstLine="709"/>
        <w:jc w:val="both"/>
      </w:pPr>
      <w:r>
        <w:t>Sans remise en cause du cadre législatif et règlementaire, en deux documents, un arrêté pour</w:t>
      </w:r>
      <w:r w:rsidR="007E315B">
        <w:t xml:space="preserve"> la collectivité en charge de l’urbanisme et</w:t>
      </w:r>
      <w:r w:rsidR="005038F3">
        <w:t xml:space="preserve"> un avis préalable par</w:t>
      </w:r>
      <w:r w:rsidR="007E315B">
        <w:t xml:space="preserve"> le gestionnaire de</w:t>
      </w:r>
      <w:r w:rsidR="007E315B" w:rsidRPr="001328F2">
        <w:t xml:space="preserve"> </w:t>
      </w:r>
      <w:r w:rsidR="007E315B">
        <w:t xml:space="preserve">réseaux publics de distribution électrique, </w:t>
      </w:r>
      <w:r w:rsidR="005038F3">
        <w:t>chaque partenaire dans sa relation garanti pour l’un</w:t>
      </w:r>
      <w:r>
        <w:t xml:space="preserve"> le financement du raccordement et </w:t>
      </w:r>
      <w:r w:rsidR="005038F3">
        <w:t>pour l’autre la proposition technique et financière</w:t>
      </w:r>
      <w:r w:rsidR="00787063">
        <w:t xml:space="preserve"> qui s’y rattache</w:t>
      </w:r>
      <w:r w:rsidR="005038F3">
        <w:t>.</w:t>
      </w:r>
      <w:r w:rsidR="005038F3" w:rsidRPr="005038F3">
        <w:t xml:space="preserve"> </w:t>
      </w:r>
      <w:r w:rsidR="00E532A5">
        <w:t>En l’absence de ses mentions, l’arrêté ne présenterait pas tous les caractères de la légalité.</w:t>
      </w:r>
    </w:p>
    <w:p w:rsidR="00E532A5" w:rsidRPr="007E315B" w:rsidRDefault="00787063" w:rsidP="00E532A5">
      <w:pPr>
        <w:spacing w:after="120"/>
        <w:ind w:firstLine="709"/>
        <w:jc w:val="both"/>
      </w:pPr>
      <w:r>
        <w:t xml:space="preserve">Chaque partenaire </w:t>
      </w:r>
      <w:r w:rsidR="005038F3">
        <w:t xml:space="preserve">est </w:t>
      </w:r>
      <w:r>
        <w:t xml:space="preserve">ainsi </w:t>
      </w:r>
      <w:r w:rsidR="005038F3">
        <w:t>replacé dans l’exercice de sa compétence</w:t>
      </w:r>
      <w:r w:rsidR="00E532A5">
        <w:t>.</w:t>
      </w:r>
    </w:p>
    <w:sectPr w:rsidR="00E532A5" w:rsidRPr="007E3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F48"/>
    <w:rsid w:val="001328F2"/>
    <w:rsid w:val="0025468D"/>
    <w:rsid w:val="002B57A1"/>
    <w:rsid w:val="00360A9B"/>
    <w:rsid w:val="00463FDE"/>
    <w:rsid w:val="004C3442"/>
    <w:rsid w:val="005038F3"/>
    <w:rsid w:val="005C0D00"/>
    <w:rsid w:val="00651951"/>
    <w:rsid w:val="00741DF2"/>
    <w:rsid w:val="00787063"/>
    <w:rsid w:val="007E315B"/>
    <w:rsid w:val="009D4724"/>
    <w:rsid w:val="00B7296F"/>
    <w:rsid w:val="00E13154"/>
    <w:rsid w:val="00E45F6E"/>
    <w:rsid w:val="00E532A5"/>
    <w:rsid w:val="00EC4380"/>
    <w:rsid w:val="00FE4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D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47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D4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4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611B5785.dotm</Template>
  <TotalTime>0</TotalTime>
  <Pages>1</Pages>
  <Words>496</Words>
  <Characters>2730</Characters>
  <Application>Microsoft Office Word</Application>
  <DocSecurity>4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COMMISSION DE REGULATION DE L'ENERGIE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Aparicio Alice</cp:lastModifiedBy>
  <cp:revision>2</cp:revision>
  <cp:lastPrinted>2017-05-12T09:47:00Z</cp:lastPrinted>
  <dcterms:created xsi:type="dcterms:W3CDTF">2017-06-06T08:21:00Z</dcterms:created>
  <dcterms:modified xsi:type="dcterms:W3CDTF">2017-06-06T08:21:00Z</dcterms:modified>
</cp:coreProperties>
</file>