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2" w:rightFromText="142" w:vertAnchor="page" w:horzAnchor="margin" w:tblpXSpec="right" w:tblpY="5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88"/>
        <w:gridCol w:w="4988"/>
      </w:tblGrid>
      <w:tr w:rsidR="00723B2E" w:rsidRPr="00F5327A" w14:paraId="09969834" w14:textId="77777777" w:rsidTr="00723B2E">
        <w:trPr>
          <w:cantSplit/>
          <w:trHeight w:val="491"/>
        </w:trPr>
        <w:tc>
          <w:tcPr>
            <w:tcW w:w="4988" w:type="dxa"/>
            <w:vAlign w:val="center"/>
          </w:tcPr>
          <w:p w14:paraId="296EDF25" w14:textId="417B9657" w:rsidR="00723B2E" w:rsidRPr="00E553B5" w:rsidRDefault="00723B2E" w:rsidP="00723B2E">
            <w:pPr>
              <w:spacing w:before="360"/>
              <w:jc w:val="right"/>
              <w:rPr>
                <w:sz w:val="24"/>
                <w:szCs w:val="24"/>
              </w:rPr>
            </w:pPr>
          </w:p>
        </w:tc>
        <w:tc>
          <w:tcPr>
            <w:tcW w:w="4988" w:type="dxa"/>
            <w:vAlign w:val="center"/>
          </w:tcPr>
          <w:p w14:paraId="71168FC6" w14:textId="3C4C7784" w:rsidR="00723B2E" w:rsidRPr="00E553B5" w:rsidRDefault="00723B2E" w:rsidP="00723B2E">
            <w:pPr>
              <w:spacing w:before="360"/>
              <w:jc w:val="right"/>
              <w:rPr>
                <w:sz w:val="24"/>
                <w:szCs w:val="24"/>
              </w:rPr>
            </w:pPr>
            <w:r>
              <w:rPr>
                <w:sz w:val="24"/>
                <w:szCs w:val="24"/>
              </w:rPr>
              <w:t xml:space="preserve">Régie Electrique de </w:t>
            </w:r>
            <w:r w:rsidR="002A16AA">
              <w:rPr>
                <w:sz w:val="24"/>
                <w:szCs w:val="24"/>
              </w:rPr>
              <w:t>Tignes</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0"/>
        <w:gridCol w:w="8848"/>
      </w:tblGrid>
      <w:tr w:rsidR="00BB6E79" w:rsidRPr="00FA158B" w14:paraId="1C84A57E" w14:textId="77777777" w:rsidTr="00E553B5">
        <w:trPr>
          <w:cantSplit/>
          <w:trHeight w:val="1780"/>
        </w:trPr>
        <w:tc>
          <w:tcPr>
            <w:tcW w:w="10432" w:type="dxa"/>
            <w:gridSpan w:val="2"/>
          </w:tcPr>
          <w:p w14:paraId="7159C919" w14:textId="77777777" w:rsidR="00BB6E79" w:rsidRPr="00FA158B" w:rsidRDefault="00F97290" w:rsidP="009C3752">
            <w:pPr>
              <w:pStyle w:val="STitreDocument"/>
              <w:jc w:val="both"/>
            </w:pPr>
            <w:r w:rsidRPr="00FA158B">
              <w:t>ANNEXE 1 Dispositions générales relatives à l’accès et à l’utilisation du RPD pour les Sites en Contrat Unique alimentés en HTA</w:t>
            </w:r>
          </w:p>
        </w:tc>
      </w:tr>
      <w:tr w:rsidR="00BB6E79" w:rsidRPr="00FA158B" w14:paraId="06C455B1" w14:textId="77777777" w:rsidTr="00331D96">
        <w:trPr>
          <w:cantSplit/>
          <w:trHeight w:hRule="exact" w:val="261"/>
        </w:trPr>
        <w:tc>
          <w:tcPr>
            <w:tcW w:w="1475" w:type="dxa"/>
            <w:vAlign w:val="center"/>
          </w:tcPr>
          <w:p w14:paraId="27CD8B59" w14:textId="32AB67D2" w:rsidR="00BB6E79" w:rsidRPr="00FA158B" w:rsidRDefault="00BB6E79" w:rsidP="00F84F73">
            <w:pPr>
              <w:spacing w:before="0" w:after="0"/>
              <w:rPr>
                <w:b/>
                <w:color w:val="005EB8" w:themeColor="background2"/>
              </w:rPr>
            </w:pPr>
          </w:p>
        </w:tc>
        <w:tc>
          <w:tcPr>
            <w:tcW w:w="8957" w:type="dxa"/>
            <w:vAlign w:val="center"/>
          </w:tcPr>
          <w:p w14:paraId="13678E21" w14:textId="532D3FE3" w:rsidR="00BB6E79" w:rsidRPr="00FA158B" w:rsidRDefault="00BB6E79" w:rsidP="00F84F73">
            <w:pPr>
              <w:pStyle w:val="SIdentification"/>
              <w:spacing w:before="0" w:after="0"/>
            </w:pPr>
          </w:p>
        </w:tc>
      </w:tr>
      <w:tr w:rsidR="00BB6E79" w:rsidRPr="00FA158B" w14:paraId="5FE203E4" w14:textId="77777777" w:rsidTr="00331D96">
        <w:trPr>
          <w:cantSplit/>
          <w:trHeight w:hRule="exact" w:val="280"/>
        </w:trPr>
        <w:tc>
          <w:tcPr>
            <w:tcW w:w="1475" w:type="dxa"/>
            <w:vAlign w:val="center"/>
          </w:tcPr>
          <w:p w14:paraId="351828A4" w14:textId="7CE0DF81" w:rsidR="00BB6E79" w:rsidRPr="00FA158B" w:rsidRDefault="00BB6E79" w:rsidP="00F84F73">
            <w:pPr>
              <w:spacing w:before="0" w:after="0"/>
              <w:rPr>
                <w:b/>
                <w:color w:val="005EB8" w:themeColor="background2"/>
              </w:rPr>
            </w:pPr>
            <w:r w:rsidRPr="00FA158B">
              <w:rPr>
                <w:b/>
                <w:color w:val="005EB8" w:themeColor="background2"/>
              </w:rPr>
              <w:t>Version :</w:t>
            </w:r>
            <w:r w:rsidR="00A03D83">
              <w:rPr>
                <w:b/>
                <w:color w:val="005EB8" w:themeColor="background2"/>
              </w:rPr>
              <w:t xml:space="preserve"> </w:t>
            </w:r>
            <w:r w:rsidR="00723B2E">
              <w:rPr>
                <w:b/>
                <w:color w:val="005EB8" w:themeColor="background2"/>
              </w:rPr>
              <w:t>3</w:t>
            </w:r>
            <w:r w:rsidR="00A03D83">
              <w:rPr>
                <w:b/>
                <w:color w:val="005EB8" w:themeColor="background2"/>
              </w:rPr>
              <w:t>.</w:t>
            </w:r>
            <w:r w:rsidR="00723B2E">
              <w:rPr>
                <w:b/>
                <w:color w:val="005EB8" w:themeColor="background2"/>
              </w:rPr>
              <w:t>2</w:t>
            </w:r>
            <w:r w:rsidR="00A03D83">
              <w:rPr>
                <w:b/>
                <w:color w:val="005EB8" w:themeColor="background2"/>
              </w:rPr>
              <w:t>0</w:t>
            </w:r>
            <w:r w:rsidR="00723B2E">
              <w:rPr>
                <w:b/>
                <w:color w:val="005EB8" w:themeColor="background2"/>
              </w:rPr>
              <w:t>20</w:t>
            </w:r>
          </w:p>
        </w:tc>
        <w:tc>
          <w:tcPr>
            <w:tcW w:w="8957" w:type="dxa"/>
            <w:vAlign w:val="center"/>
          </w:tcPr>
          <w:p w14:paraId="7ADBDE09" w14:textId="0A5A8764" w:rsidR="00BB6E79" w:rsidRPr="00FA158B" w:rsidRDefault="00BB6E79" w:rsidP="002B360A">
            <w:pPr>
              <w:pStyle w:val="SVersion"/>
              <w:spacing w:before="0" w:after="0"/>
            </w:pPr>
          </w:p>
        </w:tc>
      </w:tr>
    </w:tbl>
    <w:p w14:paraId="66EF9266" w14:textId="77777777" w:rsidR="00F97290" w:rsidRPr="00FA158B" w:rsidRDefault="00F97290" w:rsidP="009C3752"/>
    <w:p w14:paraId="62D882D7" w14:textId="77777777" w:rsidR="00BC6E54" w:rsidRPr="00FA158B" w:rsidRDefault="00BC6E54" w:rsidP="009C3752">
      <w:pPr>
        <w:rPr>
          <w:b/>
        </w:rPr>
      </w:pPr>
    </w:p>
    <w:p w14:paraId="27205D41" w14:textId="77777777" w:rsidR="00BC6E54" w:rsidRPr="00FA158B" w:rsidRDefault="00BC6E54" w:rsidP="009C3752">
      <w:pPr>
        <w:rPr>
          <w:b/>
        </w:rPr>
      </w:pPr>
      <w:r w:rsidRPr="00FA158B">
        <w:rPr>
          <w:b/>
        </w:rPr>
        <w:t>Résumé / Avertissement</w:t>
      </w:r>
    </w:p>
    <w:p w14:paraId="1FA656B7" w14:textId="77777777" w:rsidR="00BC6E54" w:rsidRPr="00FA158B" w:rsidRDefault="00F97290" w:rsidP="009C3752">
      <w:r w:rsidRPr="00FA158B">
        <w:t>Cette annexe définit les dispositions générales relatives à l’accès et à l’utilisation du Réseau Public de Distribution pour les Points de Livraison des Clients en Contrat Unique alimentés en HTA.</w:t>
      </w:r>
    </w:p>
    <w:p w14:paraId="4B5964A0" w14:textId="77777777" w:rsidR="00BC6E54" w:rsidRPr="00FA158B" w:rsidRDefault="00BC6E54" w:rsidP="009C3752"/>
    <w:p w14:paraId="3F76262B" w14:textId="77777777" w:rsidR="00DB663D" w:rsidRPr="00FA158B" w:rsidRDefault="00DB663D" w:rsidP="009C3752"/>
    <w:p w14:paraId="32A30382" w14:textId="77777777" w:rsidR="008F0DAE" w:rsidRPr="00FA158B" w:rsidRDefault="008F0DAE" w:rsidP="009C3752"/>
    <w:p w14:paraId="32CA5B6F" w14:textId="77777777" w:rsidR="00DB663D" w:rsidRPr="00FA158B" w:rsidRDefault="00DB663D" w:rsidP="009C3752">
      <w:pPr>
        <w:sectPr w:rsidR="00DB663D" w:rsidRPr="00FA158B" w:rsidSect="009C3752">
          <w:headerReference w:type="default" r:id="rId11"/>
          <w:footerReference w:type="even" r:id="rId12"/>
          <w:footerReference w:type="default" r:id="rId13"/>
          <w:headerReference w:type="first" r:id="rId14"/>
          <w:footerReference w:type="first" r:id="rId15"/>
          <w:pgSz w:w="11906" w:h="16838" w:code="9"/>
          <w:pgMar w:top="1701" w:right="794" w:bottom="1701" w:left="794" w:header="567" w:footer="626" w:gutter="0"/>
          <w:cols w:space="708"/>
          <w:titlePg/>
          <w:docGrid w:linePitch="360"/>
        </w:sectPr>
      </w:pPr>
    </w:p>
    <w:p w14:paraId="18227690" w14:textId="77777777" w:rsidR="00E73B13" w:rsidRPr="00FA158B" w:rsidRDefault="00E813EC" w:rsidP="009C3752">
      <w:pPr>
        <w:rPr>
          <w:color w:val="005EB8" w:themeColor="background2"/>
          <w:sz w:val="40"/>
          <w:szCs w:val="40"/>
        </w:rPr>
      </w:pPr>
      <w:r w:rsidRPr="00FA158B">
        <w:rPr>
          <w:color w:val="005EB8" w:themeColor="background2"/>
          <w:sz w:val="40"/>
          <w:szCs w:val="40"/>
        </w:rPr>
        <w:lastRenderedPageBreak/>
        <w:t>SOMMAIRE</w:t>
      </w:r>
    </w:p>
    <w:p w14:paraId="257EC1D8" w14:textId="77777777" w:rsidR="00754CE7" w:rsidRDefault="00320193">
      <w:pPr>
        <w:pStyle w:val="TM1"/>
        <w:rPr>
          <w:rFonts w:eastAsiaTheme="minorEastAsia" w:cstheme="minorBidi"/>
          <w:b w:val="0"/>
          <w:noProof/>
          <w:color w:val="auto"/>
          <w:sz w:val="22"/>
          <w:szCs w:val="22"/>
        </w:rPr>
      </w:pPr>
      <w:r w:rsidRPr="00FA158B">
        <w:fldChar w:fldCharType="begin"/>
      </w:r>
      <w:r w:rsidR="003726FF" w:rsidRPr="00FA158B">
        <w:instrText xml:space="preserve"> TOC \o "1-3" \h \z \u </w:instrText>
      </w:r>
      <w:r w:rsidRPr="00FA158B">
        <w:fldChar w:fldCharType="separate"/>
      </w:r>
      <w:hyperlink w:anchor="_Toc21422385" w:history="1">
        <w:r w:rsidR="00754CE7" w:rsidRPr="00CA5F36">
          <w:rPr>
            <w:rStyle w:val="Lienhypertexte"/>
            <w:noProof/>
          </w:rPr>
          <w:t>Préambule</w:t>
        </w:r>
        <w:r w:rsidR="00754CE7">
          <w:rPr>
            <w:noProof/>
            <w:webHidden/>
          </w:rPr>
          <w:tab/>
        </w:r>
        <w:r w:rsidR="00754CE7">
          <w:rPr>
            <w:noProof/>
            <w:webHidden/>
          </w:rPr>
          <w:fldChar w:fldCharType="begin"/>
        </w:r>
        <w:r w:rsidR="00754CE7">
          <w:rPr>
            <w:noProof/>
            <w:webHidden/>
          </w:rPr>
          <w:instrText xml:space="preserve"> PAGEREF _Toc21422385 \h </w:instrText>
        </w:r>
        <w:r w:rsidR="00754CE7">
          <w:rPr>
            <w:noProof/>
            <w:webHidden/>
          </w:rPr>
        </w:r>
        <w:r w:rsidR="00754CE7">
          <w:rPr>
            <w:noProof/>
            <w:webHidden/>
          </w:rPr>
          <w:fldChar w:fldCharType="separate"/>
        </w:r>
        <w:r w:rsidR="00754CE7">
          <w:rPr>
            <w:noProof/>
            <w:webHidden/>
          </w:rPr>
          <w:t>5</w:t>
        </w:r>
        <w:r w:rsidR="00754CE7">
          <w:rPr>
            <w:noProof/>
            <w:webHidden/>
          </w:rPr>
          <w:fldChar w:fldCharType="end"/>
        </w:r>
      </w:hyperlink>
    </w:p>
    <w:p w14:paraId="0ADF4D85" w14:textId="77777777" w:rsidR="00754CE7" w:rsidRDefault="003306EB">
      <w:pPr>
        <w:pStyle w:val="TM1"/>
        <w:rPr>
          <w:rFonts w:eastAsiaTheme="minorEastAsia" w:cstheme="minorBidi"/>
          <w:b w:val="0"/>
          <w:noProof/>
          <w:color w:val="auto"/>
          <w:sz w:val="22"/>
          <w:szCs w:val="22"/>
        </w:rPr>
      </w:pPr>
      <w:hyperlink w:anchor="_Toc21422386" w:history="1">
        <w:r w:rsidR="00754CE7" w:rsidRPr="00CA5F36">
          <w:rPr>
            <w:rStyle w:val="Lienhypertexte"/>
            <w:bCs/>
            <w:noProof/>
          </w:rPr>
          <w:t>1.</w:t>
        </w:r>
        <w:r w:rsidR="00754CE7">
          <w:rPr>
            <w:rFonts w:eastAsiaTheme="minorEastAsia" w:cstheme="minorBidi"/>
            <w:b w:val="0"/>
            <w:noProof/>
            <w:color w:val="auto"/>
            <w:sz w:val="22"/>
            <w:szCs w:val="22"/>
          </w:rPr>
          <w:tab/>
        </w:r>
        <w:r w:rsidR="00754CE7" w:rsidRPr="00CA5F36">
          <w:rPr>
            <w:rStyle w:val="Lienhypertexte"/>
            <w:noProof/>
          </w:rPr>
          <w:t>Cadre général de l’accès au Réseau Public de Distribution</w:t>
        </w:r>
        <w:r w:rsidR="00754CE7">
          <w:rPr>
            <w:noProof/>
            <w:webHidden/>
          </w:rPr>
          <w:tab/>
        </w:r>
        <w:r w:rsidR="00754CE7">
          <w:rPr>
            <w:noProof/>
            <w:webHidden/>
          </w:rPr>
          <w:fldChar w:fldCharType="begin"/>
        </w:r>
        <w:r w:rsidR="00754CE7">
          <w:rPr>
            <w:noProof/>
            <w:webHidden/>
          </w:rPr>
          <w:instrText xml:space="preserve"> PAGEREF _Toc21422386 \h </w:instrText>
        </w:r>
        <w:r w:rsidR="00754CE7">
          <w:rPr>
            <w:noProof/>
            <w:webHidden/>
          </w:rPr>
        </w:r>
        <w:r w:rsidR="00754CE7">
          <w:rPr>
            <w:noProof/>
            <w:webHidden/>
          </w:rPr>
          <w:fldChar w:fldCharType="separate"/>
        </w:r>
        <w:r w:rsidR="00754CE7">
          <w:rPr>
            <w:noProof/>
            <w:webHidden/>
          </w:rPr>
          <w:t>6</w:t>
        </w:r>
        <w:r w:rsidR="00754CE7">
          <w:rPr>
            <w:noProof/>
            <w:webHidden/>
          </w:rPr>
          <w:fldChar w:fldCharType="end"/>
        </w:r>
      </w:hyperlink>
    </w:p>
    <w:p w14:paraId="33AD96D2" w14:textId="77777777" w:rsidR="00754CE7" w:rsidRDefault="003306EB">
      <w:pPr>
        <w:pStyle w:val="TM2"/>
        <w:rPr>
          <w:rFonts w:eastAsiaTheme="minorEastAsia" w:cstheme="minorBidi"/>
          <w:noProof/>
          <w:color w:val="auto"/>
          <w:szCs w:val="22"/>
        </w:rPr>
      </w:pPr>
      <w:hyperlink w:anchor="_Toc21422387" w:history="1">
        <w:r w:rsidR="00754CE7" w:rsidRPr="00CA5F36">
          <w:rPr>
            <w:rStyle w:val="Lienhypertexte"/>
            <w:noProof/>
          </w:rPr>
          <w:t>1.1.</w:t>
        </w:r>
        <w:r w:rsidR="00754CE7">
          <w:rPr>
            <w:rFonts w:eastAsiaTheme="minorEastAsia" w:cstheme="minorBidi"/>
            <w:noProof/>
            <w:color w:val="auto"/>
            <w:szCs w:val="22"/>
          </w:rPr>
          <w:tab/>
        </w:r>
        <w:r w:rsidR="00754CE7" w:rsidRPr="00CA5F36">
          <w:rPr>
            <w:rStyle w:val="Lienhypertexte"/>
            <w:noProof/>
          </w:rPr>
          <w:t>Principes</w:t>
        </w:r>
        <w:r w:rsidR="00754CE7">
          <w:rPr>
            <w:noProof/>
            <w:webHidden/>
          </w:rPr>
          <w:tab/>
        </w:r>
        <w:r w:rsidR="00754CE7">
          <w:rPr>
            <w:noProof/>
            <w:webHidden/>
          </w:rPr>
          <w:fldChar w:fldCharType="begin"/>
        </w:r>
        <w:r w:rsidR="00754CE7">
          <w:rPr>
            <w:noProof/>
            <w:webHidden/>
          </w:rPr>
          <w:instrText xml:space="preserve"> PAGEREF _Toc21422387 \h </w:instrText>
        </w:r>
        <w:r w:rsidR="00754CE7">
          <w:rPr>
            <w:noProof/>
            <w:webHidden/>
          </w:rPr>
        </w:r>
        <w:r w:rsidR="00754CE7">
          <w:rPr>
            <w:noProof/>
            <w:webHidden/>
          </w:rPr>
          <w:fldChar w:fldCharType="separate"/>
        </w:r>
        <w:r w:rsidR="00754CE7">
          <w:rPr>
            <w:noProof/>
            <w:webHidden/>
          </w:rPr>
          <w:t>6</w:t>
        </w:r>
        <w:r w:rsidR="00754CE7">
          <w:rPr>
            <w:noProof/>
            <w:webHidden/>
          </w:rPr>
          <w:fldChar w:fldCharType="end"/>
        </w:r>
      </w:hyperlink>
    </w:p>
    <w:p w14:paraId="257FD646" w14:textId="77777777" w:rsidR="00754CE7" w:rsidRDefault="003306EB">
      <w:pPr>
        <w:pStyle w:val="TM2"/>
        <w:rPr>
          <w:rFonts w:eastAsiaTheme="minorEastAsia" w:cstheme="minorBidi"/>
          <w:noProof/>
          <w:color w:val="auto"/>
          <w:szCs w:val="22"/>
        </w:rPr>
      </w:pPr>
      <w:hyperlink w:anchor="_Toc21422388" w:history="1">
        <w:r w:rsidR="00754CE7" w:rsidRPr="00CA5F36">
          <w:rPr>
            <w:rStyle w:val="Lienhypertexte"/>
            <w:noProof/>
          </w:rPr>
          <w:t>1.2.</w:t>
        </w:r>
        <w:r w:rsidR="00754CE7">
          <w:rPr>
            <w:rFonts w:eastAsiaTheme="minorEastAsia" w:cstheme="minorBidi"/>
            <w:noProof/>
            <w:color w:val="auto"/>
            <w:szCs w:val="22"/>
          </w:rPr>
          <w:tab/>
        </w:r>
        <w:r w:rsidR="00754CE7" w:rsidRPr="00CA5F36">
          <w:rPr>
            <w:rStyle w:val="Lienhypertexte"/>
            <w:noProof/>
          </w:rPr>
          <w:t>Le GRD et l’accès au Réseau Public de Distribution</w:t>
        </w:r>
        <w:r w:rsidR="00754CE7">
          <w:rPr>
            <w:noProof/>
            <w:webHidden/>
          </w:rPr>
          <w:tab/>
        </w:r>
        <w:r w:rsidR="00754CE7">
          <w:rPr>
            <w:noProof/>
            <w:webHidden/>
          </w:rPr>
          <w:fldChar w:fldCharType="begin"/>
        </w:r>
        <w:r w:rsidR="00754CE7">
          <w:rPr>
            <w:noProof/>
            <w:webHidden/>
          </w:rPr>
          <w:instrText xml:space="preserve"> PAGEREF _Toc21422388 \h </w:instrText>
        </w:r>
        <w:r w:rsidR="00754CE7">
          <w:rPr>
            <w:noProof/>
            <w:webHidden/>
          </w:rPr>
        </w:r>
        <w:r w:rsidR="00754CE7">
          <w:rPr>
            <w:noProof/>
            <w:webHidden/>
          </w:rPr>
          <w:fldChar w:fldCharType="separate"/>
        </w:r>
        <w:r w:rsidR="00754CE7">
          <w:rPr>
            <w:noProof/>
            <w:webHidden/>
          </w:rPr>
          <w:t>6</w:t>
        </w:r>
        <w:r w:rsidR="00754CE7">
          <w:rPr>
            <w:noProof/>
            <w:webHidden/>
          </w:rPr>
          <w:fldChar w:fldCharType="end"/>
        </w:r>
      </w:hyperlink>
    </w:p>
    <w:p w14:paraId="344C090E" w14:textId="77777777" w:rsidR="00754CE7" w:rsidRDefault="003306EB">
      <w:pPr>
        <w:pStyle w:val="TM2"/>
        <w:rPr>
          <w:rFonts w:eastAsiaTheme="minorEastAsia" w:cstheme="minorBidi"/>
          <w:noProof/>
          <w:color w:val="auto"/>
          <w:szCs w:val="22"/>
        </w:rPr>
      </w:pPr>
      <w:hyperlink w:anchor="_Toc21422389" w:history="1">
        <w:r w:rsidR="00754CE7" w:rsidRPr="00CA5F36">
          <w:rPr>
            <w:rStyle w:val="Lienhypertexte"/>
            <w:noProof/>
          </w:rPr>
          <w:t>1.3.</w:t>
        </w:r>
        <w:r w:rsidR="00754CE7">
          <w:rPr>
            <w:rFonts w:eastAsiaTheme="minorEastAsia" w:cstheme="minorBidi"/>
            <w:noProof/>
            <w:color w:val="auto"/>
            <w:szCs w:val="22"/>
          </w:rPr>
          <w:tab/>
        </w:r>
        <w:r w:rsidR="00754CE7" w:rsidRPr="00CA5F36">
          <w:rPr>
            <w:rStyle w:val="Lienhypertexte"/>
            <w:noProof/>
          </w:rPr>
          <w:t>Le Fournisseur et l’accès du Client au Réseau Public de Distribution</w:t>
        </w:r>
        <w:r w:rsidR="00754CE7">
          <w:rPr>
            <w:noProof/>
            <w:webHidden/>
          </w:rPr>
          <w:tab/>
        </w:r>
        <w:r w:rsidR="00754CE7">
          <w:rPr>
            <w:noProof/>
            <w:webHidden/>
          </w:rPr>
          <w:fldChar w:fldCharType="begin"/>
        </w:r>
        <w:r w:rsidR="00754CE7">
          <w:rPr>
            <w:noProof/>
            <w:webHidden/>
          </w:rPr>
          <w:instrText xml:space="preserve"> PAGEREF _Toc21422389 \h </w:instrText>
        </w:r>
        <w:r w:rsidR="00754CE7">
          <w:rPr>
            <w:noProof/>
            <w:webHidden/>
          </w:rPr>
        </w:r>
        <w:r w:rsidR="00754CE7">
          <w:rPr>
            <w:noProof/>
            <w:webHidden/>
          </w:rPr>
          <w:fldChar w:fldCharType="separate"/>
        </w:r>
        <w:r w:rsidR="00754CE7">
          <w:rPr>
            <w:noProof/>
            <w:webHidden/>
          </w:rPr>
          <w:t>7</w:t>
        </w:r>
        <w:r w:rsidR="00754CE7">
          <w:rPr>
            <w:noProof/>
            <w:webHidden/>
          </w:rPr>
          <w:fldChar w:fldCharType="end"/>
        </w:r>
      </w:hyperlink>
    </w:p>
    <w:p w14:paraId="64043ED1" w14:textId="77777777" w:rsidR="00754CE7" w:rsidRDefault="003306EB">
      <w:pPr>
        <w:pStyle w:val="TM2"/>
        <w:rPr>
          <w:rFonts w:eastAsiaTheme="minorEastAsia" w:cstheme="minorBidi"/>
          <w:noProof/>
          <w:color w:val="auto"/>
          <w:szCs w:val="22"/>
        </w:rPr>
      </w:pPr>
      <w:hyperlink w:anchor="_Toc21422390" w:history="1">
        <w:r w:rsidR="00754CE7" w:rsidRPr="00CA5F36">
          <w:rPr>
            <w:rStyle w:val="Lienhypertexte"/>
            <w:noProof/>
          </w:rPr>
          <w:t>1.4.</w:t>
        </w:r>
        <w:r w:rsidR="00754CE7">
          <w:rPr>
            <w:rFonts w:eastAsiaTheme="minorEastAsia" w:cstheme="minorBidi"/>
            <w:noProof/>
            <w:color w:val="auto"/>
            <w:szCs w:val="22"/>
          </w:rPr>
          <w:tab/>
        </w:r>
        <w:r w:rsidR="00754CE7" w:rsidRPr="00CA5F36">
          <w:rPr>
            <w:rStyle w:val="Lienhypertexte"/>
            <w:noProof/>
          </w:rPr>
          <w:t>Le Client et l’accès au Réseau Public de Distribution</w:t>
        </w:r>
        <w:r w:rsidR="00754CE7">
          <w:rPr>
            <w:noProof/>
            <w:webHidden/>
          </w:rPr>
          <w:tab/>
        </w:r>
        <w:r w:rsidR="00754CE7">
          <w:rPr>
            <w:noProof/>
            <w:webHidden/>
          </w:rPr>
          <w:fldChar w:fldCharType="begin"/>
        </w:r>
        <w:r w:rsidR="00754CE7">
          <w:rPr>
            <w:noProof/>
            <w:webHidden/>
          </w:rPr>
          <w:instrText xml:space="preserve"> PAGEREF _Toc21422390 \h </w:instrText>
        </w:r>
        <w:r w:rsidR="00754CE7">
          <w:rPr>
            <w:noProof/>
            <w:webHidden/>
          </w:rPr>
        </w:r>
        <w:r w:rsidR="00754CE7">
          <w:rPr>
            <w:noProof/>
            <w:webHidden/>
          </w:rPr>
          <w:fldChar w:fldCharType="separate"/>
        </w:r>
        <w:r w:rsidR="00754CE7">
          <w:rPr>
            <w:noProof/>
            <w:webHidden/>
          </w:rPr>
          <w:t>8</w:t>
        </w:r>
        <w:r w:rsidR="00754CE7">
          <w:rPr>
            <w:noProof/>
            <w:webHidden/>
          </w:rPr>
          <w:fldChar w:fldCharType="end"/>
        </w:r>
      </w:hyperlink>
    </w:p>
    <w:p w14:paraId="11EAC4E0" w14:textId="77777777" w:rsidR="00754CE7" w:rsidRDefault="003306EB">
      <w:pPr>
        <w:pStyle w:val="TM2"/>
        <w:rPr>
          <w:rFonts w:eastAsiaTheme="minorEastAsia" w:cstheme="minorBidi"/>
          <w:noProof/>
          <w:color w:val="auto"/>
          <w:szCs w:val="22"/>
        </w:rPr>
      </w:pPr>
      <w:hyperlink w:anchor="_Toc21422391" w:history="1">
        <w:r w:rsidR="00754CE7" w:rsidRPr="00CA5F36">
          <w:rPr>
            <w:rStyle w:val="Lienhypertexte"/>
            <w:noProof/>
          </w:rPr>
          <w:t>1.5.</w:t>
        </w:r>
        <w:r w:rsidR="00754CE7">
          <w:rPr>
            <w:rFonts w:eastAsiaTheme="minorEastAsia" w:cstheme="minorBidi"/>
            <w:noProof/>
            <w:color w:val="auto"/>
            <w:szCs w:val="22"/>
          </w:rPr>
          <w:tab/>
        </w:r>
        <w:r w:rsidR="00754CE7" w:rsidRPr="00CA5F36">
          <w:rPr>
            <w:rStyle w:val="Lienhypertexte"/>
            <w:noProof/>
          </w:rPr>
          <w:t>Relations directes entre le GRD et Client</w:t>
        </w:r>
        <w:r w:rsidR="00754CE7">
          <w:rPr>
            <w:noProof/>
            <w:webHidden/>
          </w:rPr>
          <w:tab/>
        </w:r>
        <w:r w:rsidR="00754CE7">
          <w:rPr>
            <w:noProof/>
            <w:webHidden/>
          </w:rPr>
          <w:fldChar w:fldCharType="begin"/>
        </w:r>
        <w:r w:rsidR="00754CE7">
          <w:rPr>
            <w:noProof/>
            <w:webHidden/>
          </w:rPr>
          <w:instrText xml:space="preserve"> PAGEREF _Toc21422391 \h </w:instrText>
        </w:r>
        <w:r w:rsidR="00754CE7">
          <w:rPr>
            <w:noProof/>
            <w:webHidden/>
          </w:rPr>
        </w:r>
        <w:r w:rsidR="00754CE7">
          <w:rPr>
            <w:noProof/>
            <w:webHidden/>
          </w:rPr>
          <w:fldChar w:fldCharType="separate"/>
        </w:r>
        <w:r w:rsidR="00754CE7">
          <w:rPr>
            <w:noProof/>
            <w:webHidden/>
          </w:rPr>
          <w:t>8</w:t>
        </w:r>
        <w:r w:rsidR="00754CE7">
          <w:rPr>
            <w:noProof/>
            <w:webHidden/>
          </w:rPr>
          <w:fldChar w:fldCharType="end"/>
        </w:r>
      </w:hyperlink>
    </w:p>
    <w:p w14:paraId="768F7CE5" w14:textId="77777777" w:rsidR="00754CE7" w:rsidRDefault="003306EB">
      <w:pPr>
        <w:pStyle w:val="TM2"/>
        <w:rPr>
          <w:rFonts w:eastAsiaTheme="minorEastAsia" w:cstheme="minorBidi"/>
          <w:noProof/>
          <w:color w:val="auto"/>
          <w:szCs w:val="22"/>
        </w:rPr>
      </w:pPr>
      <w:hyperlink w:anchor="_Toc21422392" w:history="1">
        <w:r w:rsidR="00754CE7" w:rsidRPr="00CA5F36">
          <w:rPr>
            <w:rStyle w:val="Lienhypertexte"/>
            <w:noProof/>
          </w:rPr>
          <w:t>1.6.</w:t>
        </w:r>
        <w:r w:rsidR="00754CE7">
          <w:rPr>
            <w:rFonts w:eastAsiaTheme="minorEastAsia" w:cstheme="minorBidi"/>
            <w:noProof/>
            <w:color w:val="auto"/>
            <w:szCs w:val="22"/>
          </w:rPr>
          <w:tab/>
        </w:r>
        <w:r w:rsidR="00754CE7" w:rsidRPr="00CA5F36">
          <w:rPr>
            <w:rStyle w:val="Lienhypertexte"/>
            <w:noProof/>
          </w:rPr>
          <w:t>Protection des informations commercialement sensibles et des données à caractère personnel</w:t>
        </w:r>
        <w:r w:rsidR="00754CE7">
          <w:rPr>
            <w:noProof/>
            <w:webHidden/>
          </w:rPr>
          <w:tab/>
        </w:r>
        <w:r w:rsidR="00754CE7">
          <w:rPr>
            <w:noProof/>
            <w:webHidden/>
          </w:rPr>
          <w:fldChar w:fldCharType="begin"/>
        </w:r>
        <w:r w:rsidR="00754CE7">
          <w:rPr>
            <w:noProof/>
            <w:webHidden/>
          </w:rPr>
          <w:instrText xml:space="preserve"> PAGEREF _Toc21422392 \h </w:instrText>
        </w:r>
        <w:r w:rsidR="00754CE7">
          <w:rPr>
            <w:noProof/>
            <w:webHidden/>
          </w:rPr>
        </w:r>
        <w:r w:rsidR="00754CE7">
          <w:rPr>
            <w:noProof/>
            <w:webHidden/>
          </w:rPr>
          <w:fldChar w:fldCharType="separate"/>
        </w:r>
        <w:r w:rsidR="00754CE7">
          <w:rPr>
            <w:noProof/>
            <w:webHidden/>
          </w:rPr>
          <w:t>10</w:t>
        </w:r>
        <w:r w:rsidR="00754CE7">
          <w:rPr>
            <w:noProof/>
            <w:webHidden/>
          </w:rPr>
          <w:fldChar w:fldCharType="end"/>
        </w:r>
      </w:hyperlink>
    </w:p>
    <w:p w14:paraId="79B74DE1" w14:textId="77777777" w:rsidR="00754CE7" w:rsidRDefault="003306EB">
      <w:pPr>
        <w:pStyle w:val="TM3"/>
        <w:tabs>
          <w:tab w:val="left" w:pos="1701"/>
        </w:tabs>
        <w:rPr>
          <w:rFonts w:eastAsiaTheme="minorEastAsia" w:cstheme="minorBidi"/>
          <w:b w:val="0"/>
          <w:noProof/>
          <w:color w:val="auto"/>
          <w:sz w:val="22"/>
          <w:szCs w:val="22"/>
        </w:rPr>
      </w:pPr>
      <w:hyperlink w:anchor="_Toc21422393" w:history="1">
        <w:r w:rsidR="00754CE7" w:rsidRPr="00CA5F36">
          <w:rPr>
            <w:rStyle w:val="Lienhypertexte"/>
            <w:noProof/>
          </w:rPr>
          <w:t>1.6.1.</w:t>
        </w:r>
        <w:r w:rsidR="00754CE7">
          <w:rPr>
            <w:rFonts w:eastAsiaTheme="minorEastAsia" w:cstheme="minorBidi"/>
            <w:b w:val="0"/>
            <w:noProof/>
            <w:color w:val="auto"/>
            <w:sz w:val="22"/>
            <w:szCs w:val="22"/>
          </w:rPr>
          <w:tab/>
        </w:r>
        <w:r w:rsidR="00754CE7" w:rsidRPr="00CA5F36">
          <w:rPr>
            <w:rStyle w:val="Lienhypertexte"/>
            <w:noProof/>
          </w:rPr>
          <w:t>Protection des informations commercialement sensibles</w:t>
        </w:r>
        <w:r w:rsidR="00754CE7">
          <w:rPr>
            <w:noProof/>
            <w:webHidden/>
          </w:rPr>
          <w:tab/>
        </w:r>
        <w:r w:rsidR="00754CE7">
          <w:rPr>
            <w:noProof/>
            <w:webHidden/>
          </w:rPr>
          <w:fldChar w:fldCharType="begin"/>
        </w:r>
        <w:r w:rsidR="00754CE7">
          <w:rPr>
            <w:noProof/>
            <w:webHidden/>
          </w:rPr>
          <w:instrText xml:space="preserve"> PAGEREF _Toc21422393 \h </w:instrText>
        </w:r>
        <w:r w:rsidR="00754CE7">
          <w:rPr>
            <w:noProof/>
            <w:webHidden/>
          </w:rPr>
        </w:r>
        <w:r w:rsidR="00754CE7">
          <w:rPr>
            <w:noProof/>
            <w:webHidden/>
          </w:rPr>
          <w:fldChar w:fldCharType="separate"/>
        </w:r>
        <w:r w:rsidR="00754CE7">
          <w:rPr>
            <w:noProof/>
            <w:webHidden/>
          </w:rPr>
          <w:t>10</w:t>
        </w:r>
        <w:r w:rsidR="00754CE7">
          <w:rPr>
            <w:noProof/>
            <w:webHidden/>
          </w:rPr>
          <w:fldChar w:fldCharType="end"/>
        </w:r>
      </w:hyperlink>
    </w:p>
    <w:p w14:paraId="0833B823" w14:textId="77777777" w:rsidR="00754CE7" w:rsidRDefault="003306EB">
      <w:pPr>
        <w:pStyle w:val="TM3"/>
        <w:tabs>
          <w:tab w:val="left" w:pos="1701"/>
        </w:tabs>
        <w:rPr>
          <w:rFonts w:eastAsiaTheme="minorEastAsia" w:cstheme="minorBidi"/>
          <w:b w:val="0"/>
          <w:noProof/>
          <w:color w:val="auto"/>
          <w:sz w:val="22"/>
          <w:szCs w:val="22"/>
        </w:rPr>
      </w:pPr>
      <w:hyperlink w:anchor="_Toc21422394" w:history="1">
        <w:r w:rsidR="00754CE7" w:rsidRPr="00CA5F36">
          <w:rPr>
            <w:rStyle w:val="Lienhypertexte"/>
            <w:noProof/>
          </w:rPr>
          <w:t>1.6.2.</w:t>
        </w:r>
        <w:r w:rsidR="00754CE7">
          <w:rPr>
            <w:rFonts w:eastAsiaTheme="minorEastAsia" w:cstheme="minorBidi"/>
            <w:b w:val="0"/>
            <w:noProof/>
            <w:color w:val="auto"/>
            <w:sz w:val="22"/>
            <w:szCs w:val="22"/>
          </w:rPr>
          <w:tab/>
        </w:r>
        <w:r w:rsidR="00754CE7" w:rsidRPr="00CA5F36">
          <w:rPr>
            <w:rStyle w:val="Lienhypertexte"/>
            <w:noProof/>
          </w:rPr>
          <w:t>Protection des données à caractère personnel</w:t>
        </w:r>
        <w:r w:rsidR="00754CE7">
          <w:rPr>
            <w:noProof/>
            <w:webHidden/>
          </w:rPr>
          <w:tab/>
        </w:r>
        <w:r w:rsidR="00754CE7">
          <w:rPr>
            <w:noProof/>
            <w:webHidden/>
          </w:rPr>
          <w:fldChar w:fldCharType="begin"/>
        </w:r>
        <w:r w:rsidR="00754CE7">
          <w:rPr>
            <w:noProof/>
            <w:webHidden/>
          </w:rPr>
          <w:instrText xml:space="preserve"> PAGEREF _Toc21422394 \h </w:instrText>
        </w:r>
        <w:r w:rsidR="00754CE7">
          <w:rPr>
            <w:noProof/>
            <w:webHidden/>
          </w:rPr>
        </w:r>
        <w:r w:rsidR="00754CE7">
          <w:rPr>
            <w:noProof/>
            <w:webHidden/>
          </w:rPr>
          <w:fldChar w:fldCharType="separate"/>
        </w:r>
        <w:r w:rsidR="00754CE7">
          <w:rPr>
            <w:noProof/>
            <w:webHidden/>
          </w:rPr>
          <w:t>10</w:t>
        </w:r>
        <w:r w:rsidR="00754CE7">
          <w:rPr>
            <w:noProof/>
            <w:webHidden/>
          </w:rPr>
          <w:fldChar w:fldCharType="end"/>
        </w:r>
      </w:hyperlink>
    </w:p>
    <w:p w14:paraId="432BD2E2" w14:textId="77777777" w:rsidR="00754CE7" w:rsidRDefault="003306EB">
      <w:pPr>
        <w:pStyle w:val="TM1"/>
        <w:rPr>
          <w:rFonts w:eastAsiaTheme="minorEastAsia" w:cstheme="minorBidi"/>
          <w:b w:val="0"/>
          <w:noProof/>
          <w:color w:val="auto"/>
          <w:sz w:val="22"/>
          <w:szCs w:val="22"/>
        </w:rPr>
      </w:pPr>
      <w:hyperlink w:anchor="_Toc21422401" w:history="1">
        <w:r w:rsidR="00754CE7" w:rsidRPr="00CA5F36">
          <w:rPr>
            <w:rStyle w:val="Lienhypertexte"/>
            <w:bCs/>
            <w:noProof/>
          </w:rPr>
          <w:t>2.</w:t>
        </w:r>
        <w:r w:rsidR="00754CE7">
          <w:rPr>
            <w:rFonts w:eastAsiaTheme="minorEastAsia" w:cstheme="minorBidi"/>
            <w:b w:val="0"/>
            <w:noProof/>
            <w:color w:val="auto"/>
            <w:sz w:val="22"/>
            <w:szCs w:val="22"/>
          </w:rPr>
          <w:tab/>
        </w:r>
        <w:r w:rsidR="00754CE7" w:rsidRPr="00CA5F36">
          <w:rPr>
            <w:rStyle w:val="Lienhypertexte"/>
            <w:noProof/>
          </w:rPr>
          <w:t>Raccordement</w:t>
        </w:r>
        <w:r w:rsidR="00754CE7">
          <w:rPr>
            <w:noProof/>
            <w:webHidden/>
          </w:rPr>
          <w:tab/>
        </w:r>
        <w:r w:rsidR="00754CE7">
          <w:rPr>
            <w:noProof/>
            <w:webHidden/>
          </w:rPr>
          <w:fldChar w:fldCharType="begin"/>
        </w:r>
        <w:r w:rsidR="00754CE7">
          <w:rPr>
            <w:noProof/>
            <w:webHidden/>
          </w:rPr>
          <w:instrText xml:space="preserve"> PAGEREF _Toc21422401 \h </w:instrText>
        </w:r>
        <w:r w:rsidR="00754CE7">
          <w:rPr>
            <w:noProof/>
            <w:webHidden/>
          </w:rPr>
        </w:r>
        <w:r w:rsidR="00754CE7">
          <w:rPr>
            <w:noProof/>
            <w:webHidden/>
          </w:rPr>
          <w:fldChar w:fldCharType="separate"/>
        </w:r>
        <w:r w:rsidR="00754CE7">
          <w:rPr>
            <w:noProof/>
            <w:webHidden/>
          </w:rPr>
          <w:t>11</w:t>
        </w:r>
        <w:r w:rsidR="00754CE7">
          <w:rPr>
            <w:noProof/>
            <w:webHidden/>
          </w:rPr>
          <w:fldChar w:fldCharType="end"/>
        </w:r>
      </w:hyperlink>
    </w:p>
    <w:p w14:paraId="0345FC7A" w14:textId="77777777" w:rsidR="00754CE7" w:rsidRDefault="003306EB">
      <w:pPr>
        <w:pStyle w:val="TM2"/>
        <w:rPr>
          <w:rFonts w:eastAsiaTheme="minorEastAsia" w:cstheme="minorBidi"/>
          <w:noProof/>
          <w:color w:val="auto"/>
          <w:szCs w:val="22"/>
        </w:rPr>
      </w:pPr>
      <w:hyperlink w:anchor="_Toc21422402" w:history="1">
        <w:r w:rsidR="00754CE7" w:rsidRPr="00CA5F36">
          <w:rPr>
            <w:rStyle w:val="Lienhypertexte"/>
            <w:noProof/>
          </w:rPr>
          <w:t>2.1.</w:t>
        </w:r>
        <w:r w:rsidR="00754CE7">
          <w:rPr>
            <w:rFonts w:eastAsiaTheme="minorEastAsia" w:cstheme="minorBidi"/>
            <w:noProof/>
            <w:color w:val="auto"/>
            <w:szCs w:val="22"/>
          </w:rPr>
          <w:tab/>
        </w:r>
        <w:r w:rsidR="00754CE7" w:rsidRPr="00CA5F36">
          <w:rPr>
            <w:rStyle w:val="Lienhypertexte"/>
            <w:noProof/>
          </w:rPr>
          <w:t>Ouvrages de raccordement</w:t>
        </w:r>
        <w:r w:rsidR="00754CE7">
          <w:rPr>
            <w:noProof/>
            <w:webHidden/>
          </w:rPr>
          <w:tab/>
        </w:r>
        <w:r w:rsidR="00754CE7">
          <w:rPr>
            <w:noProof/>
            <w:webHidden/>
          </w:rPr>
          <w:fldChar w:fldCharType="begin"/>
        </w:r>
        <w:r w:rsidR="00754CE7">
          <w:rPr>
            <w:noProof/>
            <w:webHidden/>
          </w:rPr>
          <w:instrText xml:space="preserve"> PAGEREF _Toc21422402 \h </w:instrText>
        </w:r>
        <w:r w:rsidR="00754CE7">
          <w:rPr>
            <w:noProof/>
            <w:webHidden/>
          </w:rPr>
        </w:r>
        <w:r w:rsidR="00754CE7">
          <w:rPr>
            <w:noProof/>
            <w:webHidden/>
          </w:rPr>
          <w:fldChar w:fldCharType="separate"/>
        </w:r>
        <w:r w:rsidR="00754CE7">
          <w:rPr>
            <w:noProof/>
            <w:webHidden/>
          </w:rPr>
          <w:t>11</w:t>
        </w:r>
        <w:r w:rsidR="00754CE7">
          <w:rPr>
            <w:noProof/>
            <w:webHidden/>
          </w:rPr>
          <w:fldChar w:fldCharType="end"/>
        </w:r>
      </w:hyperlink>
    </w:p>
    <w:p w14:paraId="2EF375AA" w14:textId="77777777" w:rsidR="00754CE7" w:rsidRDefault="003306EB">
      <w:pPr>
        <w:pStyle w:val="TM2"/>
        <w:rPr>
          <w:rFonts w:eastAsiaTheme="minorEastAsia" w:cstheme="minorBidi"/>
          <w:noProof/>
          <w:color w:val="auto"/>
          <w:szCs w:val="22"/>
        </w:rPr>
      </w:pPr>
      <w:hyperlink w:anchor="_Toc21422403" w:history="1">
        <w:r w:rsidR="00754CE7" w:rsidRPr="00CA5F36">
          <w:rPr>
            <w:rStyle w:val="Lienhypertexte"/>
            <w:noProof/>
          </w:rPr>
          <w:t>2.2.</w:t>
        </w:r>
        <w:r w:rsidR="00754CE7">
          <w:rPr>
            <w:rFonts w:eastAsiaTheme="minorEastAsia" w:cstheme="minorBidi"/>
            <w:noProof/>
            <w:color w:val="auto"/>
            <w:szCs w:val="22"/>
          </w:rPr>
          <w:tab/>
        </w:r>
        <w:r w:rsidR="00754CE7" w:rsidRPr="00CA5F36">
          <w:rPr>
            <w:rStyle w:val="Lienhypertexte"/>
            <w:noProof/>
          </w:rPr>
          <w:t>Evolution des ouvrages de raccordement</w:t>
        </w:r>
        <w:r w:rsidR="00754CE7">
          <w:rPr>
            <w:noProof/>
            <w:webHidden/>
          </w:rPr>
          <w:tab/>
        </w:r>
        <w:r w:rsidR="00754CE7">
          <w:rPr>
            <w:noProof/>
            <w:webHidden/>
          </w:rPr>
          <w:fldChar w:fldCharType="begin"/>
        </w:r>
        <w:r w:rsidR="00754CE7">
          <w:rPr>
            <w:noProof/>
            <w:webHidden/>
          </w:rPr>
          <w:instrText xml:space="preserve"> PAGEREF _Toc21422403 \h </w:instrText>
        </w:r>
        <w:r w:rsidR="00754CE7">
          <w:rPr>
            <w:noProof/>
            <w:webHidden/>
          </w:rPr>
        </w:r>
        <w:r w:rsidR="00754CE7">
          <w:rPr>
            <w:noProof/>
            <w:webHidden/>
          </w:rPr>
          <w:fldChar w:fldCharType="separate"/>
        </w:r>
        <w:r w:rsidR="00754CE7">
          <w:rPr>
            <w:noProof/>
            <w:webHidden/>
          </w:rPr>
          <w:t>12</w:t>
        </w:r>
        <w:r w:rsidR="00754CE7">
          <w:rPr>
            <w:noProof/>
            <w:webHidden/>
          </w:rPr>
          <w:fldChar w:fldCharType="end"/>
        </w:r>
      </w:hyperlink>
    </w:p>
    <w:p w14:paraId="4CF5CE14" w14:textId="77777777" w:rsidR="00754CE7" w:rsidRDefault="003306EB">
      <w:pPr>
        <w:pStyle w:val="TM3"/>
        <w:tabs>
          <w:tab w:val="left" w:pos="1701"/>
        </w:tabs>
        <w:rPr>
          <w:rFonts w:eastAsiaTheme="minorEastAsia" w:cstheme="minorBidi"/>
          <w:b w:val="0"/>
          <w:noProof/>
          <w:color w:val="auto"/>
          <w:sz w:val="22"/>
          <w:szCs w:val="22"/>
        </w:rPr>
      </w:pPr>
      <w:hyperlink w:anchor="_Toc21422404" w:history="1">
        <w:r w:rsidR="00754CE7" w:rsidRPr="00CA5F36">
          <w:rPr>
            <w:rStyle w:val="Lienhypertexte"/>
            <w:noProof/>
          </w:rPr>
          <w:t>2.2.1.</w:t>
        </w:r>
        <w:r w:rsidR="00754CE7">
          <w:rPr>
            <w:rFonts w:eastAsiaTheme="minorEastAsia" w:cstheme="minorBidi"/>
            <w:b w:val="0"/>
            <w:noProof/>
            <w:color w:val="auto"/>
            <w:sz w:val="22"/>
            <w:szCs w:val="22"/>
          </w:rPr>
          <w:tab/>
        </w:r>
        <w:r w:rsidR="00754CE7" w:rsidRPr="00CA5F36">
          <w:rPr>
            <w:rStyle w:val="Lienhypertexte"/>
            <w:noProof/>
          </w:rPr>
          <w:t>Alimentation Principale</w:t>
        </w:r>
        <w:r w:rsidR="00754CE7">
          <w:rPr>
            <w:noProof/>
            <w:webHidden/>
          </w:rPr>
          <w:tab/>
        </w:r>
        <w:r w:rsidR="00754CE7">
          <w:rPr>
            <w:noProof/>
            <w:webHidden/>
          </w:rPr>
          <w:fldChar w:fldCharType="begin"/>
        </w:r>
        <w:r w:rsidR="00754CE7">
          <w:rPr>
            <w:noProof/>
            <w:webHidden/>
          </w:rPr>
          <w:instrText xml:space="preserve"> PAGEREF _Toc21422404 \h </w:instrText>
        </w:r>
        <w:r w:rsidR="00754CE7">
          <w:rPr>
            <w:noProof/>
            <w:webHidden/>
          </w:rPr>
        </w:r>
        <w:r w:rsidR="00754CE7">
          <w:rPr>
            <w:noProof/>
            <w:webHidden/>
          </w:rPr>
          <w:fldChar w:fldCharType="separate"/>
        </w:r>
        <w:r w:rsidR="00754CE7">
          <w:rPr>
            <w:noProof/>
            <w:webHidden/>
          </w:rPr>
          <w:t>12</w:t>
        </w:r>
        <w:r w:rsidR="00754CE7">
          <w:rPr>
            <w:noProof/>
            <w:webHidden/>
          </w:rPr>
          <w:fldChar w:fldCharType="end"/>
        </w:r>
      </w:hyperlink>
    </w:p>
    <w:p w14:paraId="0CEFC583" w14:textId="77777777" w:rsidR="00754CE7" w:rsidRDefault="003306EB">
      <w:pPr>
        <w:pStyle w:val="TM3"/>
        <w:tabs>
          <w:tab w:val="left" w:pos="1701"/>
        </w:tabs>
        <w:rPr>
          <w:rFonts w:eastAsiaTheme="minorEastAsia" w:cstheme="minorBidi"/>
          <w:b w:val="0"/>
          <w:noProof/>
          <w:color w:val="auto"/>
          <w:sz w:val="22"/>
          <w:szCs w:val="22"/>
        </w:rPr>
      </w:pPr>
      <w:hyperlink w:anchor="_Toc21422405" w:history="1">
        <w:r w:rsidR="00754CE7" w:rsidRPr="00CA5F36">
          <w:rPr>
            <w:rStyle w:val="Lienhypertexte"/>
            <w:noProof/>
          </w:rPr>
          <w:t>2.2.2.</w:t>
        </w:r>
        <w:r w:rsidR="00754CE7">
          <w:rPr>
            <w:rFonts w:eastAsiaTheme="minorEastAsia" w:cstheme="minorBidi"/>
            <w:b w:val="0"/>
            <w:noProof/>
            <w:color w:val="auto"/>
            <w:sz w:val="22"/>
            <w:szCs w:val="22"/>
          </w:rPr>
          <w:tab/>
        </w:r>
        <w:r w:rsidR="00754CE7" w:rsidRPr="00CA5F36">
          <w:rPr>
            <w:rStyle w:val="Lienhypertexte"/>
            <w:noProof/>
          </w:rPr>
          <w:t>Alimentations de Secours et/ou Alimentations Complémentaires</w:t>
        </w:r>
        <w:r w:rsidR="00754CE7">
          <w:rPr>
            <w:noProof/>
            <w:webHidden/>
          </w:rPr>
          <w:tab/>
        </w:r>
        <w:r w:rsidR="00754CE7">
          <w:rPr>
            <w:noProof/>
            <w:webHidden/>
          </w:rPr>
          <w:fldChar w:fldCharType="begin"/>
        </w:r>
        <w:r w:rsidR="00754CE7">
          <w:rPr>
            <w:noProof/>
            <w:webHidden/>
          </w:rPr>
          <w:instrText xml:space="preserve"> PAGEREF _Toc21422405 \h </w:instrText>
        </w:r>
        <w:r w:rsidR="00754CE7">
          <w:rPr>
            <w:noProof/>
            <w:webHidden/>
          </w:rPr>
        </w:r>
        <w:r w:rsidR="00754CE7">
          <w:rPr>
            <w:noProof/>
            <w:webHidden/>
          </w:rPr>
          <w:fldChar w:fldCharType="separate"/>
        </w:r>
        <w:r w:rsidR="00754CE7">
          <w:rPr>
            <w:noProof/>
            <w:webHidden/>
          </w:rPr>
          <w:t>13</w:t>
        </w:r>
        <w:r w:rsidR="00754CE7">
          <w:rPr>
            <w:noProof/>
            <w:webHidden/>
          </w:rPr>
          <w:fldChar w:fldCharType="end"/>
        </w:r>
      </w:hyperlink>
    </w:p>
    <w:p w14:paraId="6578E9CF" w14:textId="77777777" w:rsidR="00754CE7" w:rsidRDefault="003306EB">
      <w:pPr>
        <w:pStyle w:val="TM3"/>
        <w:tabs>
          <w:tab w:val="left" w:pos="1701"/>
        </w:tabs>
        <w:rPr>
          <w:rFonts w:eastAsiaTheme="minorEastAsia" w:cstheme="minorBidi"/>
          <w:b w:val="0"/>
          <w:noProof/>
          <w:color w:val="auto"/>
          <w:sz w:val="22"/>
          <w:szCs w:val="22"/>
        </w:rPr>
      </w:pPr>
      <w:hyperlink w:anchor="_Toc21422406" w:history="1">
        <w:r w:rsidR="00754CE7" w:rsidRPr="00CA5F36">
          <w:rPr>
            <w:rStyle w:val="Lienhypertexte"/>
            <w:noProof/>
          </w:rPr>
          <w:t>2.2.3.</w:t>
        </w:r>
        <w:r w:rsidR="00754CE7">
          <w:rPr>
            <w:rFonts w:eastAsiaTheme="minorEastAsia" w:cstheme="minorBidi"/>
            <w:b w:val="0"/>
            <w:noProof/>
            <w:color w:val="auto"/>
            <w:sz w:val="22"/>
            <w:szCs w:val="22"/>
          </w:rPr>
          <w:tab/>
        </w:r>
        <w:r w:rsidR="00754CE7" w:rsidRPr="00CA5F36">
          <w:rPr>
            <w:rStyle w:val="Lienhypertexte"/>
            <w:noProof/>
          </w:rPr>
          <w:t>Dispositif particulier de limitation des perturbations sur le Réseau</w:t>
        </w:r>
        <w:r w:rsidR="00754CE7">
          <w:rPr>
            <w:noProof/>
            <w:webHidden/>
          </w:rPr>
          <w:tab/>
        </w:r>
        <w:r w:rsidR="00754CE7">
          <w:rPr>
            <w:noProof/>
            <w:webHidden/>
          </w:rPr>
          <w:fldChar w:fldCharType="begin"/>
        </w:r>
        <w:r w:rsidR="00754CE7">
          <w:rPr>
            <w:noProof/>
            <w:webHidden/>
          </w:rPr>
          <w:instrText xml:space="preserve"> PAGEREF _Toc21422406 \h </w:instrText>
        </w:r>
        <w:r w:rsidR="00754CE7">
          <w:rPr>
            <w:noProof/>
            <w:webHidden/>
          </w:rPr>
        </w:r>
        <w:r w:rsidR="00754CE7">
          <w:rPr>
            <w:noProof/>
            <w:webHidden/>
          </w:rPr>
          <w:fldChar w:fldCharType="separate"/>
        </w:r>
        <w:r w:rsidR="00754CE7">
          <w:rPr>
            <w:noProof/>
            <w:webHidden/>
          </w:rPr>
          <w:t>13</w:t>
        </w:r>
        <w:r w:rsidR="00754CE7">
          <w:rPr>
            <w:noProof/>
            <w:webHidden/>
          </w:rPr>
          <w:fldChar w:fldCharType="end"/>
        </w:r>
      </w:hyperlink>
    </w:p>
    <w:p w14:paraId="6AAEA561" w14:textId="77777777" w:rsidR="00754CE7" w:rsidRDefault="003306EB">
      <w:pPr>
        <w:pStyle w:val="TM2"/>
        <w:rPr>
          <w:rFonts w:eastAsiaTheme="minorEastAsia" w:cstheme="minorBidi"/>
          <w:noProof/>
          <w:color w:val="auto"/>
          <w:szCs w:val="22"/>
        </w:rPr>
      </w:pPr>
      <w:hyperlink w:anchor="_Toc21422407" w:history="1">
        <w:r w:rsidR="00754CE7" w:rsidRPr="00CA5F36">
          <w:rPr>
            <w:rStyle w:val="Lienhypertexte"/>
            <w:noProof/>
          </w:rPr>
          <w:t>2.3.</w:t>
        </w:r>
        <w:r w:rsidR="00754CE7">
          <w:rPr>
            <w:rFonts w:eastAsiaTheme="minorEastAsia" w:cstheme="minorBidi"/>
            <w:noProof/>
            <w:color w:val="auto"/>
            <w:szCs w:val="22"/>
          </w:rPr>
          <w:tab/>
        </w:r>
        <w:r w:rsidR="00754CE7" w:rsidRPr="00CA5F36">
          <w:rPr>
            <w:rStyle w:val="Lienhypertexte"/>
            <w:noProof/>
          </w:rPr>
          <w:t>Installations du Client</w:t>
        </w:r>
        <w:r w:rsidR="00754CE7">
          <w:rPr>
            <w:noProof/>
            <w:webHidden/>
          </w:rPr>
          <w:tab/>
        </w:r>
        <w:r w:rsidR="00754CE7">
          <w:rPr>
            <w:noProof/>
            <w:webHidden/>
          </w:rPr>
          <w:fldChar w:fldCharType="begin"/>
        </w:r>
        <w:r w:rsidR="00754CE7">
          <w:rPr>
            <w:noProof/>
            <w:webHidden/>
          </w:rPr>
          <w:instrText xml:space="preserve"> PAGEREF _Toc21422407 \h </w:instrText>
        </w:r>
        <w:r w:rsidR="00754CE7">
          <w:rPr>
            <w:noProof/>
            <w:webHidden/>
          </w:rPr>
        </w:r>
        <w:r w:rsidR="00754CE7">
          <w:rPr>
            <w:noProof/>
            <w:webHidden/>
          </w:rPr>
          <w:fldChar w:fldCharType="separate"/>
        </w:r>
        <w:r w:rsidR="00754CE7">
          <w:rPr>
            <w:noProof/>
            <w:webHidden/>
          </w:rPr>
          <w:t>14</w:t>
        </w:r>
        <w:r w:rsidR="00754CE7">
          <w:rPr>
            <w:noProof/>
            <w:webHidden/>
          </w:rPr>
          <w:fldChar w:fldCharType="end"/>
        </w:r>
      </w:hyperlink>
    </w:p>
    <w:p w14:paraId="490B6BC1" w14:textId="77777777" w:rsidR="00754CE7" w:rsidRDefault="003306EB">
      <w:pPr>
        <w:pStyle w:val="TM3"/>
        <w:tabs>
          <w:tab w:val="left" w:pos="1701"/>
        </w:tabs>
        <w:rPr>
          <w:rFonts w:eastAsiaTheme="minorEastAsia" w:cstheme="minorBidi"/>
          <w:b w:val="0"/>
          <w:noProof/>
          <w:color w:val="auto"/>
          <w:sz w:val="22"/>
          <w:szCs w:val="22"/>
        </w:rPr>
      </w:pPr>
      <w:hyperlink w:anchor="_Toc21422408" w:history="1">
        <w:r w:rsidR="00754CE7" w:rsidRPr="00CA5F36">
          <w:rPr>
            <w:rStyle w:val="Lienhypertexte"/>
            <w:noProof/>
          </w:rPr>
          <w:t>2.3.1.</w:t>
        </w:r>
        <w:r w:rsidR="00754CE7">
          <w:rPr>
            <w:rFonts w:eastAsiaTheme="minorEastAsia" w:cstheme="minorBidi"/>
            <w:b w:val="0"/>
            <w:noProof/>
            <w:color w:val="auto"/>
            <w:sz w:val="22"/>
            <w:szCs w:val="22"/>
          </w:rPr>
          <w:tab/>
        </w:r>
        <w:r w:rsidR="00754CE7" w:rsidRPr="00CA5F36">
          <w:rPr>
            <w:rStyle w:val="Lienhypertexte"/>
            <w:noProof/>
          </w:rPr>
          <w:t>Installations du poste de livraison</w:t>
        </w:r>
        <w:r w:rsidR="00754CE7">
          <w:rPr>
            <w:noProof/>
            <w:webHidden/>
          </w:rPr>
          <w:tab/>
        </w:r>
        <w:r w:rsidR="00754CE7">
          <w:rPr>
            <w:noProof/>
            <w:webHidden/>
          </w:rPr>
          <w:fldChar w:fldCharType="begin"/>
        </w:r>
        <w:r w:rsidR="00754CE7">
          <w:rPr>
            <w:noProof/>
            <w:webHidden/>
          </w:rPr>
          <w:instrText xml:space="preserve"> PAGEREF _Toc21422408 \h </w:instrText>
        </w:r>
        <w:r w:rsidR="00754CE7">
          <w:rPr>
            <w:noProof/>
            <w:webHidden/>
          </w:rPr>
        </w:r>
        <w:r w:rsidR="00754CE7">
          <w:rPr>
            <w:noProof/>
            <w:webHidden/>
          </w:rPr>
          <w:fldChar w:fldCharType="separate"/>
        </w:r>
        <w:r w:rsidR="00754CE7">
          <w:rPr>
            <w:noProof/>
            <w:webHidden/>
          </w:rPr>
          <w:t>14</w:t>
        </w:r>
        <w:r w:rsidR="00754CE7">
          <w:rPr>
            <w:noProof/>
            <w:webHidden/>
          </w:rPr>
          <w:fldChar w:fldCharType="end"/>
        </w:r>
      </w:hyperlink>
    </w:p>
    <w:p w14:paraId="5631AC12" w14:textId="77777777" w:rsidR="00754CE7" w:rsidRDefault="003306EB">
      <w:pPr>
        <w:pStyle w:val="TM3"/>
        <w:tabs>
          <w:tab w:val="left" w:pos="1701"/>
        </w:tabs>
        <w:rPr>
          <w:rFonts w:eastAsiaTheme="minorEastAsia" w:cstheme="minorBidi"/>
          <w:b w:val="0"/>
          <w:noProof/>
          <w:color w:val="auto"/>
          <w:sz w:val="22"/>
          <w:szCs w:val="22"/>
        </w:rPr>
      </w:pPr>
      <w:hyperlink w:anchor="_Toc21422409" w:history="1">
        <w:r w:rsidR="00754CE7" w:rsidRPr="00CA5F36">
          <w:rPr>
            <w:rStyle w:val="Lienhypertexte"/>
            <w:noProof/>
          </w:rPr>
          <w:t>2.3.2.</w:t>
        </w:r>
        <w:r w:rsidR="00754CE7">
          <w:rPr>
            <w:rFonts w:eastAsiaTheme="minorEastAsia" w:cstheme="minorBidi"/>
            <w:b w:val="0"/>
            <w:noProof/>
            <w:color w:val="auto"/>
            <w:sz w:val="22"/>
            <w:szCs w:val="22"/>
          </w:rPr>
          <w:tab/>
        </w:r>
        <w:r w:rsidR="00754CE7" w:rsidRPr="00CA5F36">
          <w:rPr>
            <w:rStyle w:val="Lienhypertexte"/>
            <w:noProof/>
          </w:rPr>
          <w:t>Installations de Production d’électricité du Client</w:t>
        </w:r>
        <w:r w:rsidR="00754CE7">
          <w:rPr>
            <w:noProof/>
            <w:webHidden/>
          </w:rPr>
          <w:tab/>
        </w:r>
        <w:r w:rsidR="00754CE7">
          <w:rPr>
            <w:noProof/>
            <w:webHidden/>
          </w:rPr>
          <w:fldChar w:fldCharType="begin"/>
        </w:r>
        <w:r w:rsidR="00754CE7">
          <w:rPr>
            <w:noProof/>
            <w:webHidden/>
          </w:rPr>
          <w:instrText xml:space="preserve"> PAGEREF _Toc21422409 \h </w:instrText>
        </w:r>
        <w:r w:rsidR="00754CE7">
          <w:rPr>
            <w:noProof/>
            <w:webHidden/>
          </w:rPr>
        </w:r>
        <w:r w:rsidR="00754CE7">
          <w:rPr>
            <w:noProof/>
            <w:webHidden/>
          </w:rPr>
          <w:fldChar w:fldCharType="separate"/>
        </w:r>
        <w:r w:rsidR="00754CE7">
          <w:rPr>
            <w:noProof/>
            <w:webHidden/>
          </w:rPr>
          <w:t>14</w:t>
        </w:r>
        <w:r w:rsidR="00754CE7">
          <w:rPr>
            <w:noProof/>
            <w:webHidden/>
          </w:rPr>
          <w:fldChar w:fldCharType="end"/>
        </w:r>
      </w:hyperlink>
    </w:p>
    <w:p w14:paraId="4AA30A07" w14:textId="77777777" w:rsidR="00754CE7" w:rsidRDefault="003306EB">
      <w:pPr>
        <w:pStyle w:val="TM3"/>
        <w:tabs>
          <w:tab w:val="left" w:pos="1701"/>
        </w:tabs>
        <w:rPr>
          <w:rFonts w:eastAsiaTheme="minorEastAsia" w:cstheme="minorBidi"/>
          <w:b w:val="0"/>
          <w:noProof/>
          <w:color w:val="auto"/>
          <w:sz w:val="22"/>
          <w:szCs w:val="22"/>
        </w:rPr>
      </w:pPr>
      <w:hyperlink w:anchor="_Toc21422410" w:history="1">
        <w:r w:rsidR="00754CE7" w:rsidRPr="00CA5F36">
          <w:rPr>
            <w:rStyle w:val="Lienhypertexte"/>
            <w:noProof/>
          </w:rPr>
          <w:t>2.3.3.</w:t>
        </w:r>
        <w:r w:rsidR="00754CE7">
          <w:rPr>
            <w:rFonts w:eastAsiaTheme="minorEastAsia" w:cstheme="minorBidi"/>
            <w:b w:val="0"/>
            <w:noProof/>
            <w:color w:val="auto"/>
            <w:sz w:val="22"/>
            <w:szCs w:val="22"/>
          </w:rPr>
          <w:tab/>
        </w:r>
        <w:r w:rsidR="00754CE7" w:rsidRPr="00CA5F36">
          <w:rPr>
            <w:rStyle w:val="Lienhypertexte"/>
            <w:noProof/>
          </w:rPr>
          <w:t>Droit d'accès et de contrôle</w:t>
        </w:r>
        <w:r w:rsidR="00754CE7">
          <w:rPr>
            <w:noProof/>
            <w:webHidden/>
          </w:rPr>
          <w:tab/>
        </w:r>
        <w:r w:rsidR="00754CE7">
          <w:rPr>
            <w:noProof/>
            <w:webHidden/>
          </w:rPr>
          <w:fldChar w:fldCharType="begin"/>
        </w:r>
        <w:r w:rsidR="00754CE7">
          <w:rPr>
            <w:noProof/>
            <w:webHidden/>
          </w:rPr>
          <w:instrText xml:space="preserve"> PAGEREF _Toc21422410 \h </w:instrText>
        </w:r>
        <w:r w:rsidR="00754CE7">
          <w:rPr>
            <w:noProof/>
            <w:webHidden/>
          </w:rPr>
        </w:r>
        <w:r w:rsidR="00754CE7">
          <w:rPr>
            <w:noProof/>
            <w:webHidden/>
          </w:rPr>
          <w:fldChar w:fldCharType="separate"/>
        </w:r>
        <w:r w:rsidR="00754CE7">
          <w:rPr>
            <w:noProof/>
            <w:webHidden/>
          </w:rPr>
          <w:t>14</w:t>
        </w:r>
        <w:r w:rsidR="00754CE7">
          <w:rPr>
            <w:noProof/>
            <w:webHidden/>
          </w:rPr>
          <w:fldChar w:fldCharType="end"/>
        </w:r>
      </w:hyperlink>
    </w:p>
    <w:p w14:paraId="6BC48010" w14:textId="77777777" w:rsidR="00754CE7" w:rsidRDefault="003306EB">
      <w:pPr>
        <w:pStyle w:val="TM3"/>
        <w:tabs>
          <w:tab w:val="left" w:pos="1701"/>
        </w:tabs>
        <w:rPr>
          <w:rFonts w:eastAsiaTheme="minorEastAsia" w:cstheme="minorBidi"/>
          <w:b w:val="0"/>
          <w:noProof/>
          <w:color w:val="auto"/>
          <w:sz w:val="22"/>
          <w:szCs w:val="22"/>
        </w:rPr>
      </w:pPr>
      <w:hyperlink w:anchor="_Toc21422411" w:history="1">
        <w:r w:rsidR="00754CE7" w:rsidRPr="00CA5F36">
          <w:rPr>
            <w:rStyle w:val="Lienhypertexte"/>
            <w:noProof/>
          </w:rPr>
          <w:t>2.3.4.</w:t>
        </w:r>
        <w:r w:rsidR="00754CE7">
          <w:rPr>
            <w:rFonts w:eastAsiaTheme="minorEastAsia" w:cstheme="minorBidi"/>
            <w:b w:val="0"/>
            <w:noProof/>
            <w:color w:val="auto"/>
            <w:sz w:val="22"/>
            <w:szCs w:val="22"/>
          </w:rPr>
          <w:tab/>
        </w:r>
        <w:r w:rsidR="00754CE7" w:rsidRPr="00CA5F36">
          <w:rPr>
            <w:rStyle w:val="Lienhypertexte"/>
            <w:noProof/>
          </w:rPr>
          <w:t>Responsabilité</w:t>
        </w:r>
        <w:r w:rsidR="00754CE7">
          <w:rPr>
            <w:noProof/>
            <w:webHidden/>
          </w:rPr>
          <w:tab/>
        </w:r>
        <w:r w:rsidR="00754CE7">
          <w:rPr>
            <w:noProof/>
            <w:webHidden/>
          </w:rPr>
          <w:fldChar w:fldCharType="begin"/>
        </w:r>
        <w:r w:rsidR="00754CE7">
          <w:rPr>
            <w:noProof/>
            <w:webHidden/>
          </w:rPr>
          <w:instrText xml:space="preserve"> PAGEREF _Toc21422411 \h </w:instrText>
        </w:r>
        <w:r w:rsidR="00754CE7">
          <w:rPr>
            <w:noProof/>
            <w:webHidden/>
          </w:rPr>
        </w:r>
        <w:r w:rsidR="00754CE7">
          <w:rPr>
            <w:noProof/>
            <w:webHidden/>
          </w:rPr>
          <w:fldChar w:fldCharType="separate"/>
        </w:r>
        <w:r w:rsidR="00754CE7">
          <w:rPr>
            <w:noProof/>
            <w:webHidden/>
          </w:rPr>
          <w:t>15</w:t>
        </w:r>
        <w:r w:rsidR="00754CE7">
          <w:rPr>
            <w:noProof/>
            <w:webHidden/>
          </w:rPr>
          <w:fldChar w:fldCharType="end"/>
        </w:r>
      </w:hyperlink>
    </w:p>
    <w:p w14:paraId="6C71D7A0" w14:textId="77777777" w:rsidR="00754CE7" w:rsidRDefault="003306EB">
      <w:pPr>
        <w:pStyle w:val="TM2"/>
        <w:rPr>
          <w:rFonts w:eastAsiaTheme="minorEastAsia" w:cstheme="minorBidi"/>
          <w:noProof/>
          <w:color w:val="auto"/>
          <w:szCs w:val="22"/>
        </w:rPr>
      </w:pPr>
      <w:hyperlink w:anchor="_Toc21422412" w:history="1">
        <w:r w:rsidR="00754CE7" w:rsidRPr="00CA5F36">
          <w:rPr>
            <w:rStyle w:val="Lienhypertexte"/>
            <w:noProof/>
          </w:rPr>
          <w:t>2.4.</w:t>
        </w:r>
        <w:r w:rsidR="00754CE7">
          <w:rPr>
            <w:rFonts w:eastAsiaTheme="minorEastAsia" w:cstheme="minorBidi"/>
            <w:noProof/>
            <w:color w:val="auto"/>
            <w:szCs w:val="22"/>
          </w:rPr>
          <w:tab/>
        </w:r>
        <w:r w:rsidR="00754CE7" w:rsidRPr="00CA5F36">
          <w:rPr>
            <w:rStyle w:val="Lienhypertexte"/>
            <w:noProof/>
          </w:rPr>
          <w:t>Mise en service</w:t>
        </w:r>
        <w:r w:rsidR="00754CE7">
          <w:rPr>
            <w:noProof/>
            <w:webHidden/>
          </w:rPr>
          <w:tab/>
        </w:r>
        <w:r w:rsidR="00754CE7">
          <w:rPr>
            <w:noProof/>
            <w:webHidden/>
          </w:rPr>
          <w:fldChar w:fldCharType="begin"/>
        </w:r>
        <w:r w:rsidR="00754CE7">
          <w:rPr>
            <w:noProof/>
            <w:webHidden/>
          </w:rPr>
          <w:instrText xml:space="preserve"> PAGEREF _Toc21422412 \h </w:instrText>
        </w:r>
        <w:r w:rsidR="00754CE7">
          <w:rPr>
            <w:noProof/>
            <w:webHidden/>
          </w:rPr>
        </w:r>
        <w:r w:rsidR="00754CE7">
          <w:rPr>
            <w:noProof/>
            <w:webHidden/>
          </w:rPr>
          <w:fldChar w:fldCharType="separate"/>
        </w:r>
        <w:r w:rsidR="00754CE7">
          <w:rPr>
            <w:noProof/>
            <w:webHidden/>
          </w:rPr>
          <w:t>15</w:t>
        </w:r>
        <w:r w:rsidR="00754CE7">
          <w:rPr>
            <w:noProof/>
            <w:webHidden/>
          </w:rPr>
          <w:fldChar w:fldCharType="end"/>
        </w:r>
      </w:hyperlink>
    </w:p>
    <w:p w14:paraId="666A1207" w14:textId="77777777" w:rsidR="00754CE7" w:rsidRDefault="003306EB">
      <w:pPr>
        <w:pStyle w:val="TM3"/>
        <w:tabs>
          <w:tab w:val="left" w:pos="1701"/>
        </w:tabs>
        <w:rPr>
          <w:rFonts w:eastAsiaTheme="minorEastAsia" w:cstheme="minorBidi"/>
          <w:b w:val="0"/>
          <w:noProof/>
          <w:color w:val="auto"/>
          <w:sz w:val="22"/>
          <w:szCs w:val="22"/>
        </w:rPr>
      </w:pPr>
      <w:hyperlink w:anchor="_Toc21422413" w:history="1">
        <w:r w:rsidR="00754CE7" w:rsidRPr="00CA5F36">
          <w:rPr>
            <w:rStyle w:val="Lienhypertexte"/>
            <w:noProof/>
          </w:rPr>
          <w:t>2.4.1.</w:t>
        </w:r>
        <w:r w:rsidR="00754CE7">
          <w:rPr>
            <w:rFonts w:eastAsiaTheme="minorEastAsia" w:cstheme="minorBidi"/>
            <w:b w:val="0"/>
            <w:noProof/>
            <w:color w:val="auto"/>
            <w:sz w:val="22"/>
            <w:szCs w:val="22"/>
          </w:rPr>
          <w:tab/>
        </w:r>
        <w:r w:rsidR="00754CE7" w:rsidRPr="00CA5F36">
          <w:rPr>
            <w:rStyle w:val="Lienhypertexte"/>
            <w:noProof/>
          </w:rPr>
          <w:t>Mise en service à la suite d’un raccordement nouveau</w:t>
        </w:r>
        <w:r w:rsidR="00754CE7">
          <w:rPr>
            <w:noProof/>
            <w:webHidden/>
          </w:rPr>
          <w:tab/>
        </w:r>
        <w:r w:rsidR="00754CE7">
          <w:rPr>
            <w:noProof/>
            <w:webHidden/>
          </w:rPr>
          <w:fldChar w:fldCharType="begin"/>
        </w:r>
        <w:r w:rsidR="00754CE7">
          <w:rPr>
            <w:noProof/>
            <w:webHidden/>
          </w:rPr>
          <w:instrText xml:space="preserve"> PAGEREF _Toc21422413 \h </w:instrText>
        </w:r>
        <w:r w:rsidR="00754CE7">
          <w:rPr>
            <w:noProof/>
            <w:webHidden/>
          </w:rPr>
        </w:r>
        <w:r w:rsidR="00754CE7">
          <w:rPr>
            <w:noProof/>
            <w:webHidden/>
          </w:rPr>
          <w:fldChar w:fldCharType="separate"/>
        </w:r>
        <w:r w:rsidR="00754CE7">
          <w:rPr>
            <w:noProof/>
            <w:webHidden/>
          </w:rPr>
          <w:t>15</w:t>
        </w:r>
        <w:r w:rsidR="00754CE7">
          <w:rPr>
            <w:noProof/>
            <w:webHidden/>
          </w:rPr>
          <w:fldChar w:fldCharType="end"/>
        </w:r>
      </w:hyperlink>
    </w:p>
    <w:p w14:paraId="0E428EF5" w14:textId="77777777" w:rsidR="00754CE7" w:rsidRDefault="003306EB">
      <w:pPr>
        <w:pStyle w:val="TM3"/>
        <w:tabs>
          <w:tab w:val="left" w:pos="1701"/>
        </w:tabs>
        <w:rPr>
          <w:rFonts w:eastAsiaTheme="minorEastAsia" w:cstheme="minorBidi"/>
          <w:b w:val="0"/>
          <w:noProof/>
          <w:color w:val="auto"/>
          <w:sz w:val="22"/>
          <w:szCs w:val="22"/>
        </w:rPr>
      </w:pPr>
      <w:hyperlink w:anchor="_Toc21422414" w:history="1">
        <w:r w:rsidR="00754CE7" w:rsidRPr="00CA5F36">
          <w:rPr>
            <w:rStyle w:val="Lienhypertexte"/>
            <w:noProof/>
          </w:rPr>
          <w:t>2.4.2.</w:t>
        </w:r>
        <w:r w:rsidR="00754CE7">
          <w:rPr>
            <w:rFonts w:eastAsiaTheme="minorEastAsia" w:cstheme="minorBidi"/>
            <w:b w:val="0"/>
            <w:noProof/>
            <w:color w:val="auto"/>
            <w:sz w:val="22"/>
            <w:szCs w:val="22"/>
          </w:rPr>
          <w:tab/>
        </w:r>
        <w:r w:rsidR="00754CE7" w:rsidRPr="00CA5F36">
          <w:rPr>
            <w:rStyle w:val="Lienhypertexte"/>
            <w:noProof/>
          </w:rPr>
          <w:t>Mise en service sur raccordement existant</w:t>
        </w:r>
        <w:r w:rsidR="00754CE7">
          <w:rPr>
            <w:noProof/>
            <w:webHidden/>
          </w:rPr>
          <w:tab/>
        </w:r>
        <w:r w:rsidR="00754CE7">
          <w:rPr>
            <w:noProof/>
            <w:webHidden/>
          </w:rPr>
          <w:fldChar w:fldCharType="begin"/>
        </w:r>
        <w:r w:rsidR="00754CE7">
          <w:rPr>
            <w:noProof/>
            <w:webHidden/>
          </w:rPr>
          <w:instrText xml:space="preserve"> PAGEREF _Toc21422414 \h </w:instrText>
        </w:r>
        <w:r w:rsidR="00754CE7">
          <w:rPr>
            <w:noProof/>
            <w:webHidden/>
          </w:rPr>
        </w:r>
        <w:r w:rsidR="00754CE7">
          <w:rPr>
            <w:noProof/>
            <w:webHidden/>
          </w:rPr>
          <w:fldChar w:fldCharType="separate"/>
        </w:r>
        <w:r w:rsidR="00754CE7">
          <w:rPr>
            <w:noProof/>
            <w:webHidden/>
          </w:rPr>
          <w:t>15</w:t>
        </w:r>
        <w:r w:rsidR="00754CE7">
          <w:rPr>
            <w:noProof/>
            <w:webHidden/>
          </w:rPr>
          <w:fldChar w:fldCharType="end"/>
        </w:r>
      </w:hyperlink>
    </w:p>
    <w:p w14:paraId="2A72FC83" w14:textId="77777777" w:rsidR="00754CE7" w:rsidRDefault="003306EB">
      <w:pPr>
        <w:pStyle w:val="TM2"/>
        <w:rPr>
          <w:rFonts w:eastAsiaTheme="minorEastAsia" w:cstheme="minorBidi"/>
          <w:noProof/>
          <w:color w:val="auto"/>
          <w:szCs w:val="22"/>
        </w:rPr>
      </w:pPr>
      <w:hyperlink w:anchor="_Toc21422415" w:history="1">
        <w:r w:rsidR="00754CE7" w:rsidRPr="00CA5F36">
          <w:rPr>
            <w:rStyle w:val="Lienhypertexte"/>
            <w:noProof/>
          </w:rPr>
          <w:t>2.5.</w:t>
        </w:r>
        <w:r w:rsidR="00754CE7">
          <w:rPr>
            <w:rFonts w:eastAsiaTheme="minorEastAsia" w:cstheme="minorBidi"/>
            <w:noProof/>
            <w:color w:val="auto"/>
            <w:szCs w:val="22"/>
          </w:rPr>
          <w:tab/>
        </w:r>
        <w:r w:rsidR="00754CE7" w:rsidRPr="00CA5F36">
          <w:rPr>
            <w:rStyle w:val="Lienhypertexte"/>
            <w:noProof/>
          </w:rPr>
          <w:t>Suppression du raccordement du Site au Réseau Public de Distribution</w:t>
        </w:r>
        <w:r w:rsidR="00754CE7">
          <w:rPr>
            <w:noProof/>
            <w:webHidden/>
          </w:rPr>
          <w:tab/>
        </w:r>
        <w:r w:rsidR="00754CE7">
          <w:rPr>
            <w:noProof/>
            <w:webHidden/>
          </w:rPr>
          <w:fldChar w:fldCharType="begin"/>
        </w:r>
        <w:r w:rsidR="00754CE7">
          <w:rPr>
            <w:noProof/>
            <w:webHidden/>
          </w:rPr>
          <w:instrText xml:space="preserve"> PAGEREF _Toc21422415 \h </w:instrText>
        </w:r>
        <w:r w:rsidR="00754CE7">
          <w:rPr>
            <w:noProof/>
            <w:webHidden/>
          </w:rPr>
        </w:r>
        <w:r w:rsidR="00754CE7">
          <w:rPr>
            <w:noProof/>
            <w:webHidden/>
          </w:rPr>
          <w:fldChar w:fldCharType="separate"/>
        </w:r>
        <w:r w:rsidR="00754CE7">
          <w:rPr>
            <w:noProof/>
            <w:webHidden/>
          </w:rPr>
          <w:t>16</w:t>
        </w:r>
        <w:r w:rsidR="00754CE7">
          <w:rPr>
            <w:noProof/>
            <w:webHidden/>
          </w:rPr>
          <w:fldChar w:fldCharType="end"/>
        </w:r>
      </w:hyperlink>
    </w:p>
    <w:p w14:paraId="184DE736" w14:textId="77777777" w:rsidR="00754CE7" w:rsidRDefault="003306EB">
      <w:pPr>
        <w:pStyle w:val="TM3"/>
        <w:tabs>
          <w:tab w:val="left" w:pos="1701"/>
        </w:tabs>
        <w:rPr>
          <w:rFonts w:eastAsiaTheme="minorEastAsia" w:cstheme="minorBidi"/>
          <w:b w:val="0"/>
          <w:noProof/>
          <w:color w:val="auto"/>
          <w:sz w:val="22"/>
          <w:szCs w:val="22"/>
        </w:rPr>
      </w:pPr>
      <w:hyperlink w:anchor="_Toc21422416" w:history="1">
        <w:r w:rsidR="00754CE7" w:rsidRPr="00CA5F36">
          <w:rPr>
            <w:rStyle w:val="Lienhypertexte"/>
            <w:noProof/>
          </w:rPr>
          <w:t>2.5.1.</w:t>
        </w:r>
        <w:r w:rsidR="00754CE7">
          <w:rPr>
            <w:rFonts w:eastAsiaTheme="minorEastAsia" w:cstheme="minorBidi"/>
            <w:b w:val="0"/>
            <w:noProof/>
            <w:color w:val="auto"/>
            <w:sz w:val="22"/>
            <w:szCs w:val="22"/>
          </w:rPr>
          <w:tab/>
        </w:r>
        <w:r w:rsidR="00754CE7" w:rsidRPr="00CA5F36">
          <w:rPr>
            <w:rStyle w:val="Lienhypertexte"/>
            <w:noProof/>
          </w:rPr>
          <w:t>Cas avec Contrat Unique actif</w:t>
        </w:r>
        <w:r w:rsidR="00754CE7">
          <w:rPr>
            <w:noProof/>
            <w:webHidden/>
          </w:rPr>
          <w:tab/>
        </w:r>
        <w:r w:rsidR="00754CE7">
          <w:rPr>
            <w:noProof/>
            <w:webHidden/>
          </w:rPr>
          <w:fldChar w:fldCharType="begin"/>
        </w:r>
        <w:r w:rsidR="00754CE7">
          <w:rPr>
            <w:noProof/>
            <w:webHidden/>
          </w:rPr>
          <w:instrText xml:space="preserve"> PAGEREF _Toc21422416 \h </w:instrText>
        </w:r>
        <w:r w:rsidR="00754CE7">
          <w:rPr>
            <w:noProof/>
            <w:webHidden/>
          </w:rPr>
        </w:r>
        <w:r w:rsidR="00754CE7">
          <w:rPr>
            <w:noProof/>
            <w:webHidden/>
          </w:rPr>
          <w:fldChar w:fldCharType="separate"/>
        </w:r>
        <w:r w:rsidR="00754CE7">
          <w:rPr>
            <w:noProof/>
            <w:webHidden/>
          </w:rPr>
          <w:t>16</w:t>
        </w:r>
        <w:r w:rsidR="00754CE7">
          <w:rPr>
            <w:noProof/>
            <w:webHidden/>
          </w:rPr>
          <w:fldChar w:fldCharType="end"/>
        </w:r>
      </w:hyperlink>
    </w:p>
    <w:p w14:paraId="7FABD03D" w14:textId="77777777" w:rsidR="00754CE7" w:rsidRDefault="003306EB">
      <w:pPr>
        <w:pStyle w:val="TM3"/>
        <w:tabs>
          <w:tab w:val="left" w:pos="1701"/>
        </w:tabs>
        <w:rPr>
          <w:rFonts w:eastAsiaTheme="minorEastAsia" w:cstheme="minorBidi"/>
          <w:b w:val="0"/>
          <w:noProof/>
          <w:color w:val="auto"/>
          <w:sz w:val="22"/>
          <w:szCs w:val="22"/>
        </w:rPr>
      </w:pPr>
      <w:hyperlink w:anchor="_Toc21422417" w:history="1">
        <w:r w:rsidR="00754CE7" w:rsidRPr="00CA5F36">
          <w:rPr>
            <w:rStyle w:val="Lienhypertexte"/>
            <w:noProof/>
          </w:rPr>
          <w:t>2.5.2.</w:t>
        </w:r>
        <w:r w:rsidR="00754CE7">
          <w:rPr>
            <w:rFonts w:eastAsiaTheme="minorEastAsia" w:cstheme="minorBidi"/>
            <w:b w:val="0"/>
            <w:noProof/>
            <w:color w:val="auto"/>
            <w:sz w:val="22"/>
            <w:szCs w:val="22"/>
          </w:rPr>
          <w:tab/>
        </w:r>
        <w:r w:rsidR="00754CE7" w:rsidRPr="00CA5F36">
          <w:rPr>
            <w:rStyle w:val="Lienhypertexte"/>
            <w:noProof/>
          </w:rPr>
          <w:t>Cas après résiliation du Contrat Unique concerné</w:t>
        </w:r>
        <w:r w:rsidR="00754CE7">
          <w:rPr>
            <w:noProof/>
            <w:webHidden/>
          </w:rPr>
          <w:tab/>
        </w:r>
        <w:r w:rsidR="00754CE7">
          <w:rPr>
            <w:noProof/>
            <w:webHidden/>
          </w:rPr>
          <w:fldChar w:fldCharType="begin"/>
        </w:r>
        <w:r w:rsidR="00754CE7">
          <w:rPr>
            <w:noProof/>
            <w:webHidden/>
          </w:rPr>
          <w:instrText xml:space="preserve"> PAGEREF _Toc21422417 \h </w:instrText>
        </w:r>
        <w:r w:rsidR="00754CE7">
          <w:rPr>
            <w:noProof/>
            <w:webHidden/>
          </w:rPr>
        </w:r>
        <w:r w:rsidR="00754CE7">
          <w:rPr>
            <w:noProof/>
            <w:webHidden/>
          </w:rPr>
          <w:fldChar w:fldCharType="separate"/>
        </w:r>
        <w:r w:rsidR="00754CE7">
          <w:rPr>
            <w:noProof/>
            <w:webHidden/>
          </w:rPr>
          <w:t>16</w:t>
        </w:r>
        <w:r w:rsidR="00754CE7">
          <w:rPr>
            <w:noProof/>
            <w:webHidden/>
          </w:rPr>
          <w:fldChar w:fldCharType="end"/>
        </w:r>
      </w:hyperlink>
    </w:p>
    <w:p w14:paraId="7D60BB41" w14:textId="77777777" w:rsidR="00754CE7" w:rsidRDefault="003306EB">
      <w:pPr>
        <w:pStyle w:val="TM1"/>
        <w:rPr>
          <w:rFonts w:eastAsiaTheme="minorEastAsia" w:cstheme="minorBidi"/>
          <w:b w:val="0"/>
          <w:noProof/>
          <w:color w:val="auto"/>
          <w:sz w:val="22"/>
          <w:szCs w:val="22"/>
        </w:rPr>
      </w:pPr>
      <w:hyperlink w:anchor="_Toc21422418" w:history="1">
        <w:r w:rsidR="00754CE7" w:rsidRPr="00CA5F36">
          <w:rPr>
            <w:rStyle w:val="Lienhypertexte"/>
            <w:bCs/>
            <w:noProof/>
          </w:rPr>
          <w:t>3.</w:t>
        </w:r>
        <w:r w:rsidR="00754CE7">
          <w:rPr>
            <w:rFonts w:eastAsiaTheme="minorEastAsia" w:cstheme="minorBidi"/>
            <w:b w:val="0"/>
            <w:noProof/>
            <w:color w:val="auto"/>
            <w:sz w:val="22"/>
            <w:szCs w:val="22"/>
          </w:rPr>
          <w:tab/>
        </w:r>
        <w:r w:rsidR="00754CE7" w:rsidRPr="00CA5F36">
          <w:rPr>
            <w:rStyle w:val="Lienhypertexte"/>
            <w:noProof/>
          </w:rPr>
          <w:t>Comptage</w:t>
        </w:r>
        <w:r w:rsidR="00754CE7">
          <w:rPr>
            <w:noProof/>
            <w:webHidden/>
          </w:rPr>
          <w:tab/>
        </w:r>
        <w:r w:rsidR="00754CE7">
          <w:rPr>
            <w:noProof/>
            <w:webHidden/>
          </w:rPr>
          <w:fldChar w:fldCharType="begin"/>
        </w:r>
        <w:r w:rsidR="00754CE7">
          <w:rPr>
            <w:noProof/>
            <w:webHidden/>
          </w:rPr>
          <w:instrText xml:space="preserve"> PAGEREF _Toc21422418 \h </w:instrText>
        </w:r>
        <w:r w:rsidR="00754CE7">
          <w:rPr>
            <w:noProof/>
            <w:webHidden/>
          </w:rPr>
        </w:r>
        <w:r w:rsidR="00754CE7">
          <w:rPr>
            <w:noProof/>
            <w:webHidden/>
          </w:rPr>
          <w:fldChar w:fldCharType="separate"/>
        </w:r>
        <w:r w:rsidR="00754CE7">
          <w:rPr>
            <w:noProof/>
            <w:webHidden/>
          </w:rPr>
          <w:t>16</w:t>
        </w:r>
        <w:r w:rsidR="00754CE7">
          <w:rPr>
            <w:noProof/>
            <w:webHidden/>
          </w:rPr>
          <w:fldChar w:fldCharType="end"/>
        </w:r>
      </w:hyperlink>
    </w:p>
    <w:p w14:paraId="02FC99A3" w14:textId="77777777" w:rsidR="00754CE7" w:rsidRDefault="003306EB">
      <w:pPr>
        <w:pStyle w:val="TM2"/>
        <w:rPr>
          <w:rFonts w:eastAsiaTheme="minorEastAsia" w:cstheme="minorBidi"/>
          <w:noProof/>
          <w:color w:val="auto"/>
          <w:szCs w:val="22"/>
        </w:rPr>
      </w:pPr>
      <w:hyperlink w:anchor="_Toc21422419" w:history="1">
        <w:r w:rsidR="00754CE7" w:rsidRPr="00CA5F36">
          <w:rPr>
            <w:rStyle w:val="Lienhypertexte"/>
            <w:noProof/>
          </w:rPr>
          <w:t>3.1.</w:t>
        </w:r>
        <w:r w:rsidR="00754CE7">
          <w:rPr>
            <w:rFonts w:eastAsiaTheme="minorEastAsia" w:cstheme="minorBidi"/>
            <w:noProof/>
            <w:color w:val="auto"/>
            <w:szCs w:val="22"/>
          </w:rPr>
          <w:tab/>
        </w:r>
        <w:r w:rsidR="00754CE7" w:rsidRPr="00CA5F36">
          <w:rPr>
            <w:rStyle w:val="Lienhypertexte"/>
            <w:noProof/>
          </w:rPr>
          <w:t>Dispositif de comptage et de contrôle</w:t>
        </w:r>
        <w:r w:rsidR="00754CE7">
          <w:rPr>
            <w:noProof/>
            <w:webHidden/>
          </w:rPr>
          <w:tab/>
        </w:r>
        <w:r w:rsidR="00754CE7">
          <w:rPr>
            <w:noProof/>
            <w:webHidden/>
          </w:rPr>
          <w:fldChar w:fldCharType="begin"/>
        </w:r>
        <w:r w:rsidR="00754CE7">
          <w:rPr>
            <w:noProof/>
            <w:webHidden/>
          </w:rPr>
          <w:instrText xml:space="preserve"> PAGEREF _Toc21422419 \h </w:instrText>
        </w:r>
        <w:r w:rsidR="00754CE7">
          <w:rPr>
            <w:noProof/>
            <w:webHidden/>
          </w:rPr>
        </w:r>
        <w:r w:rsidR="00754CE7">
          <w:rPr>
            <w:noProof/>
            <w:webHidden/>
          </w:rPr>
          <w:fldChar w:fldCharType="separate"/>
        </w:r>
        <w:r w:rsidR="00754CE7">
          <w:rPr>
            <w:noProof/>
            <w:webHidden/>
          </w:rPr>
          <w:t>16</w:t>
        </w:r>
        <w:r w:rsidR="00754CE7">
          <w:rPr>
            <w:noProof/>
            <w:webHidden/>
          </w:rPr>
          <w:fldChar w:fldCharType="end"/>
        </w:r>
      </w:hyperlink>
    </w:p>
    <w:p w14:paraId="2F9EC0C8" w14:textId="77777777" w:rsidR="00754CE7" w:rsidRDefault="003306EB">
      <w:pPr>
        <w:pStyle w:val="TM3"/>
        <w:tabs>
          <w:tab w:val="left" w:pos="1701"/>
        </w:tabs>
        <w:rPr>
          <w:rFonts w:eastAsiaTheme="minorEastAsia" w:cstheme="minorBidi"/>
          <w:b w:val="0"/>
          <w:noProof/>
          <w:color w:val="auto"/>
          <w:sz w:val="22"/>
          <w:szCs w:val="22"/>
        </w:rPr>
      </w:pPr>
      <w:hyperlink w:anchor="_Toc21422420" w:history="1">
        <w:r w:rsidR="00754CE7" w:rsidRPr="00CA5F36">
          <w:rPr>
            <w:rStyle w:val="Lienhypertexte"/>
            <w:noProof/>
          </w:rPr>
          <w:t>3.1.1.</w:t>
        </w:r>
        <w:r w:rsidR="00754CE7">
          <w:rPr>
            <w:rFonts w:eastAsiaTheme="minorEastAsia" w:cstheme="minorBidi"/>
            <w:b w:val="0"/>
            <w:noProof/>
            <w:color w:val="auto"/>
            <w:sz w:val="22"/>
            <w:szCs w:val="22"/>
          </w:rPr>
          <w:tab/>
        </w:r>
        <w:r w:rsidR="00754CE7" w:rsidRPr="00CA5F36">
          <w:rPr>
            <w:rStyle w:val="Lienhypertexte"/>
            <w:noProof/>
          </w:rPr>
          <w:t>Description des équipements du(des) dispositif(s) de comptage et de contrôle</w:t>
        </w:r>
        <w:r w:rsidR="00754CE7">
          <w:rPr>
            <w:noProof/>
            <w:webHidden/>
          </w:rPr>
          <w:tab/>
        </w:r>
        <w:r w:rsidR="00754CE7">
          <w:rPr>
            <w:noProof/>
            <w:webHidden/>
          </w:rPr>
          <w:fldChar w:fldCharType="begin"/>
        </w:r>
        <w:r w:rsidR="00754CE7">
          <w:rPr>
            <w:noProof/>
            <w:webHidden/>
          </w:rPr>
          <w:instrText xml:space="preserve"> PAGEREF _Toc21422420 \h </w:instrText>
        </w:r>
        <w:r w:rsidR="00754CE7">
          <w:rPr>
            <w:noProof/>
            <w:webHidden/>
          </w:rPr>
        </w:r>
        <w:r w:rsidR="00754CE7">
          <w:rPr>
            <w:noProof/>
            <w:webHidden/>
          </w:rPr>
          <w:fldChar w:fldCharType="separate"/>
        </w:r>
        <w:r w:rsidR="00754CE7">
          <w:rPr>
            <w:noProof/>
            <w:webHidden/>
          </w:rPr>
          <w:t>16</w:t>
        </w:r>
        <w:r w:rsidR="00754CE7">
          <w:rPr>
            <w:noProof/>
            <w:webHidden/>
          </w:rPr>
          <w:fldChar w:fldCharType="end"/>
        </w:r>
      </w:hyperlink>
    </w:p>
    <w:p w14:paraId="785685D5" w14:textId="77777777" w:rsidR="00754CE7" w:rsidRDefault="003306EB">
      <w:pPr>
        <w:pStyle w:val="TM3"/>
        <w:tabs>
          <w:tab w:val="left" w:pos="1701"/>
        </w:tabs>
        <w:rPr>
          <w:rFonts w:eastAsiaTheme="minorEastAsia" w:cstheme="minorBidi"/>
          <w:b w:val="0"/>
          <w:noProof/>
          <w:color w:val="auto"/>
          <w:sz w:val="22"/>
          <w:szCs w:val="22"/>
        </w:rPr>
      </w:pPr>
      <w:hyperlink w:anchor="_Toc21422421" w:history="1">
        <w:r w:rsidR="00754CE7" w:rsidRPr="00CA5F36">
          <w:rPr>
            <w:rStyle w:val="Lienhypertexte"/>
            <w:noProof/>
          </w:rPr>
          <w:t>3.1.2.</w:t>
        </w:r>
        <w:r w:rsidR="00754CE7">
          <w:rPr>
            <w:rFonts w:eastAsiaTheme="minorEastAsia" w:cstheme="minorBidi"/>
            <w:b w:val="0"/>
            <w:noProof/>
            <w:color w:val="auto"/>
            <w:sz w:val="22"/>
            <w:szCs w:val="22"/>
          </w:rPr>
          <w:tab/>
        </w:r>
        <w:r w:rsidR="00754CE7" w:rsidRPr="00CA5F36">
          <w:rPr>
            <w:rStyle w:val="Lienhypertexte"/>
            <w:noProof/>
          </w:rPr>
          <w:t>Fourniture des équipements du(des) Dispositif(s) de comptage</w:t>
        </w:r>
        <w:r w:rsidR="00754CE7">
          <w:rPr>
            <w:noProof/>
            <w:webHidden/>
          </w:rPr>
          <w:tab/>
        </w:r>
        <w:r w:rsidR="00754CE7">
          <w:rPr>
            <w:noProof/>
            <w:webHidden/>
          </w:rPr>
          <w:fldChar w:fldCharType="begin"/>
        </w:r>
        <w:r w:rsidR="00754CE7">
          <w:rPr>
            <w:noProof/>
            <w:webHidden/>
          </w:rPr>
          <w:instrText xml:space="preserve"> PAGEREF _Toc21422421 \h </w:instrText>
        </w:r>
        <w:r w:rsidR="00754CE7">
          <w:rPr>
            <w:noProof/>
            <w:webHidden/>
          </w:rPr>
        </w:r>
        <w:r w:rsidR="00754CE7">
          <w:rPr>
            <w:noProof/>
            <w:webHidden/>
          </w:rPr>
          <w:fldChar w:fldCharType="separate"/>
        </w:r>
        <w:r w:rsidR="00754CE7">
          <w:rPr>
            <w:noProof/>
            <w:webHidden/>
          </w:rPr>
          <w:t>18</w:t>
        </w:r>
        <w:r w:rsidR="00754CE7">
          <w:rPr>
            <w:noProof/>
            <w:webHidden/>
          </w:rPr>
          <w:fldChar w:fldCharType="end"/>
        </w:r>
      </w:hyperlink>
    </w:p>
    <w:p w14:paraId="2A5930AB" w14:textId="77777777" w:rsidR="00754CE7" w:rsidRDefault="003306EB">
      <w:pPr>
        <w:pStyle w:val="TM3"/>
        <w:tabs>
          <w:tab w:val="left" w:pos="1701"/>
        </w:tabs>
        <w:rPr>
          <w:rFonts w:eastAsiaTheme="minorEastAsia" w:cstheme="minorBidi"/>
          <w:b w:val="0"/>
          <w:noProof/>
          <w:color w:val="auto"/>
          <w:sz w:val="22"/>
          <w:szCs w:val="22"/>
        </w:rPr>
      </w:pPr>
      <w:hyperlink w:anchor="_Toc21422422" w:history="1">
        <w:r w:rsidR="00754CE7" w:rsidRPr="00CA5F36">
          <w:rPr>
            <w:rStyle w:val="Lienhypertexte"/>
            <w:noProof/>
          </w:rPr>
          <w:t>3.1.3.</w:t>
        </w:r>
        <w:r w:rsidR="00754CE7">
          <w:rPr>
            <w:rFonts w:eastAsiaTheme="minorEastAsia" w:cstheme="minorBidi"/>
            <w:b w:val="0"/>
            <w:noProof/>
            <w:color w:val="auto"/>
            <w:sz w:val="22"/>
            <w:szCs w:val="22"/>
          </w:rPr>
          <w:tab/>
        </w:r>
        <w:r w:rsidR="00754CE7" w:rsidRPr="00CA5F36">
          <w:rPr>
            <w:rStyle w:val="Lienhypertexte"/>
            <w:noProof/>
          </w:rPr>
          <w:t>Pose des équipements du(des) Dispositif(s) de comptage</w:t>
        </w:r>
        <w:r w:rsidR="00754CE7">
          <w:rPr>
            <w:noProof/>
            <w:webHidden/>
          </w:rPr>
          <w:tab/>
        </w:r>
        <w:r w:rsidR="00754CE7">
          <w:rPr>
            <w:noProof/>
            <w:webHidden/>
          </w:rPr>
          <w:fldChar w:fldCharType="begin"/>
        </w:r>
        <w:r w:rsidR="00754CE7">
          <w:rPr>
            <w:noProof/>
            <w:webHidden/>
          </w:rPr>
          <w:instrText xml:space="preserve"> PAGEREF _Toc21422422 \h </w:instrText>
        </w:r>
        <w:r w:rsidR="00754CE7">
          <w:rPr>
            <w:noProof/>
            <w:webHidden/>
          </w:rPr>
        </w:r>
        <w:r w:rsidR="00754CE7">
          <w:rPr>
            <w:noProof/>
            <w:webHidden/>
          </w:rPr>
          <w:fldChar w:fldCharType="separate"/>
        </w:r>
        <w:r w:rsidR="00754CE7">
          <w:rPr>
            <w:noProof/>
            <w:webHidden/>
          </w:rPr>
          <w:t>18</w:t>
        </w:r>
        <w:r w:rsidR="00754CE7">
          <w:rPr>
            <w:noProof/>
            <w:webHidden/>
          </w:rPr>
          <w:fldChar w:fldCharType="end"/>
        </w:r>
      </w:hyperlink>
    </w:p>
    <w:p w14:paraId="3AACE65D" w14:textId="77777777" w:rsidR="00754CE7" w:rsidRDefault="003306EB">
      <w:pPr>
        <w:pStyle w:val="TM3"/>
        <w:tabs>
          <w:tab w:val="left" w:pos="1701"/>
        </w:tabs>
        <w:rPr>
          <w:rFonts w:eastAsiaTheme="minorEastAsia" w:cstheme="minorBidi"/>
          <w:b w:val="0"/>
          <w:noProof/>
          <w:color w:val="auto"/>
          <w:sz w:val="22"/>
          <w:szCs w:val="22"/>
        </w:rPr>
      </w:pPr>
      <w:hyperlink w:anchor="_Toc21422423" w:history="1">
        <w:r w:rsidR="00754CE7" w:rsidRPr="00CA5F36">
          <w:rPr>
            <w:rStyle w:val="Lienhypertexte"/>
            <w:noProof/>
          </w:rPr>
          <w:t>3.1.4.</w:t>
        </w:r>
        <w:r w:rsidR="00754CE7">
          <w:rPr>
            <w:rFonts w:eastAsiaTheme="minorEastAsia" w:cstheme="minorBidi"/>
            <w:b w:val="0"/>
            <w:noProof/>
            <w:color w:val="auto"/>
            <w:sz w:val="22"/>
            <w:szCs w:val="22"/>
          </w:rPr>
          <w:tab/>
        </w:r>
        <w:r w:rsidR="00754CE7" w:rsidRPr="00CA5F36">
          <w:rPr>
            <w:rStyle w:val="Lienhypertexte"/>
            <w:noProof/>
          </w:rPr>
          <w:t>Accès au(x) Dispositif(s) de comptage</w:t>
        </w:r>
        <w:r w:rsidR="00754CE7">
          <w:rPr>
            <w:noProof/>
            <w:webHidden/>
          </w:rPr>
          <w:tab/>
        </w:r>
        <w:r w:rsidR="00754CE7">
          <w:rPr>
            <w:noProof/>
            <w:webHidden/>
          </w:rPr>
          <w:fldChar w:fldCharType="begin"/>
        </w:r>
        <w:r w:rsidR="00754CE7">
          <w:rPr>
            <w:noProof/>
            <w:webHidden/>
          </w:rPr>
          <w:instrText xml:space="preserve"> PAGEREF _Toc21422423 \h </w:instrText>
        </w:r>
        <w:r w:rsidR="00754CE7">
          <w:rPr>
            <w:noProof/>
            <w:webHidden/>
          </w:rPr>
        </w:r>
        <w:r w:rsidR="00754CE7">
          <w:rPr>
            <w:noProof/>
            <w:webHidden/>
          </w:rPr>
          <w:fldChar w:fldCharType="separate"/>
        </w:r>
        <w:r w:rsidR="00754CE7">
          <w:rPr>
            <w:noProof/>
            <w:webHidden/>
          </w:rPr>
          <w:t>18</w:t>
        </w:r>
        <w:r w:rsidR="00754CE7">
          <w:rPr>
            <w:noProof/>
            <w:webHidden/>
          </w:rPr>
          <w:fldChar w:fldCharType="end"/>
        </w:r>
      </w:hyperlink>
    </w:p>
    <w:p w14:paraId="160E5A40" w14:textId="77777777" w:rsidR="00754CE7" w:rsidRDefault="003306EB">
      <w:pPr>
        <w:pStyle w:val="TM3"/>
        <w:tabs>
          <w:tab w:val="left" w:pos="1701"/>
        </w:tabs>
        <w:rPr>
          <w:rFonts w:eastAsiaTheme="minorEastAsia" w:cstheme="minorBidi"/>
          <w:b w:val="0"/>
          <w:noProof/>
          <w:color w:val="auto"/>
          <w:sz w:val="22"/>
          <w:szCs w:val="22"/>
        </w:rPr>
      </w:pPr>
      <w:hyperlink w:anchor="_Toc21422424" w:history="1">
        <w:r w:rsidR="00754CE7" w:rsidRPr="00CA5F36">
          <w:rPr>
            <w:rStyle w:val="Lienhypertexte"/>
            <w:noProof/>
          </w:rPr>
          <w:t>3.1.5.</w:t>
        </w:r>
        <w:r w:rsidR="00754CE7">
          <w:rPr>
            <w:rFonts w:eastAsiaTheme="minorEastAsia" w:cstheme="minorBidi"/>
            <w:b w:val="0"/>
            <w:noProof/>
            <w:color w:val="auto"/>
            <w:sz w:val="22"/>
            <w:szCs w:val="22"/>
          </w:rPr>
          <w:tab/>
        </w:r>
        <w:r w:rsidR="00754CE7" w:rsidRPr="00CA5F36">
          <w:rPr>
            <w:rStyle w:val="Lienhypertexte"/>
            <w:noProof/>
          </w:rPr>
          <w:t>Contrôle et vérification métrologique des équipements du(des) Dispositif(s) de comptage</w:t>
        </w:r>
        <w:r w:rsidR="00754CE7">
          <w:rPr>
            <w:noProof/>
            <w:webHidden/>
          </w:rPr>
          <w:tab/>
        </w:r>
        <w:r w:rsidR="00754CE7">
          <w:rPr>
            <w:noProof/>
            <w:webHidden/>
          </w:rPr>
          <w:fldChar w:fldCharType="begin"/>
        </w:r>
        <w:r w:rsidR="00754CE7">
          <w:rPr>
            <w:noProof/>
            <w:webHidden/>
          </w:rPr>
          <w:instrText xml:space="preserve"> PAGEREF _Toc21422424 \h </w:instrText>
        </w:r>
        <w:r w:rsidR="00754CE7">
          <w:rPr>
            <w:noProof/>
            <w:webHidden/>
          </w:rPr>
        </w:r>
        <w:r w:rsidR="00754CE7">
          <w:rPr>
            <w:noProof/>
            <w:webHidden/>
          </w:rPr>
          <w:fldChar w:fldCharType="separate"/>
        </w:r>
        <w:r w:rsidR="00754CE7">
          <w:rPr>
            <w:noProof/>
            <w:webHidden/>
          </w:rPr>
          <w:t>18</w:t>
        </w:r>
        <w:r w:rsidR="00754CE7">
          <w:rPr>
            <w:noProof/>
            <w:webHidden/>
          </w:rPr>
          <w:fldChar w:fldCharType="end"/>
        </w:r>
      </w:hyperlink>
    </w:p>
    <w:p w14:paraId="3FA90245" w14:textId="77777777" w:rsidR="00754CE7" w:rsidRDefault="003306EB">
      <w:pPr>
        <w:pStyle w:val="TM3"/>
        <w:tabs>
          <w:tab w:val="left" w:pos="1701"/>
        </w:tabs>
        <w:rPr>
          <w:rFonts w:eastAsiaTheme="minorEastAsia" w:cstheme="minorBidi"/>
          <w:b w:val="0"/>
          <w:noProof/>
          <w:color w:val="auto"/>
          <w:sz w:val="22"/>
          <w:szCs w:val="22"/>
        </w:rPr>
      </w:pPr>
      <w:hyperlink w:anchor="_Toc21422425" w:history="1">
        <w:r w:rsidR="00754CE7" w:rsidRPr="00CA5F36">
          <w:rPr>
            <w:rStyle w:val="Lienhypertexte"/>
            <w:noProof/>
          </w:rPr>
          <w:t>3.1.6.</w:t>
        </w:r>
        <w:r w:rsidR="00754CE7">
          <w:rPr>
            <w:rFonts w:eastAsiaTheme="minorEastAsia" w:cstheme="minorBidi"/>
            <w:b w:val="0"/>
            <w:noProof/>
            <w:color w:val="auto"/>
            <w:sz w:val="22"/>
            <w:szCs w:val="22"/>
          </w:rPr>
          <w:tab/>
        </w:r>
        <w:r w:rsidR="00754CE7" w:rsidRPr="00CA5F36">
          <w:rPr>
            <w:rStyle w:val="Lienhypertexte"/>
            <w:noProof/>
          </w:rPr>
          <w:t>Entretien et renouvellement des équipements du(des) Dispositif(s) de comptage</w:t>
        </w:r>
        <w:r w:rsidR="00754CE7">
          <w:rPr>
            <w:noProof/>
            <w:webHidden/>
          </w:rPr>
          <w:tab/>
        </w:r>
        <w:r w:rsidR="00754CE7">
          <w:rPr>
            <w:noProof/>
            <w:webHidden/>
          </w:rPr>
          <w:fldChar w:fldCharType="begin"/>
        </w:r>
        <w:r w:rsidR="00754CE7">
          <w:rPr>
            <w:noProof/>
            <w:webHidden/>
          </w:rPr>
          <w:instrText xml:space="preserve"> PAGEREF _Toc21422425 \h </w:instrText>
        </w:r>
        <w:r w:rsidR="00754CE7">
          <w:rPr>
            <w:noProof/>
            <w:webHidden/>
          </w:rPr>
        </w:r>
        <w:r w:rsidR="00754CE7">
          <w:rPr>
            <w:noProof/>
            <w:webHidden/>
          </w:rPr>
          <w:fldChar w:fldCharType="separate"/>
        </w:r>
        <w:r w:rsidR="00754CE7">
          <w:rPr>
            <w:noProof/>
            <w:webHidden/>
          </w:rPr>
          <w:t>18</w:t>
        </w:r>
        <w:r w:rsidR="00754CE7">
          <w:rPr>
            <w:noProof/>
            <w:webHidden/>
          </w:rPr>
          <w:fldChar w:fldCharType="end"/>
        </w:r>
      </w:hyperlink>
    </w:p>
    <w:p w14:paraId="51C8F3AC" w14:textId="77777777" w:rsidR="00754CE7" w:rsidRDefault="003306EB">
      <w:pPr>
        <w:pStyle w:val="TM3"/>
        <w:tabs>
          <w:tab w:val="left" w:pos="1701"/>
        </w:tabs>
        <w:rPr>
          <w:rFonts w:eastAsiaTheme="minorEastAsia" w:cstheme="minorBidi"/>
          <w:b w:val="0"/>
          <w:noProof/>
          <w:color w:val="auto"/>
          <w:sz w:val="22"/>
          <w:szCs w:val="22"/>
        </w:rPr>
      </w:pPr>
      <w:hyperlink w:anchor="_Toc21422426" w:history="1">
        <w:r w:rsidR="00754CE7" w:rsidRPr="00CA5F36">
          <w:rPr>
            <w:rStyle w:val="Lienhypertexte"/>
            <w:noProof/>
          </w:rPr>
          <w:t>3.1.7.</w:t>
        </w:r>
        <w:r w:rsidR="00754CE7">
          <w:rPr>
            <w:rFonts w:eastAsiaTheme="minorEastAsia" w:cstheme="minorBidi"/>
            <w:b w:val="0"/>
            <w:noProof/>
            <w:color w:val="auto"/>
            <w:sz w:val="22"/>
            <w:szCs w:val="22"/>
          </w:rPr>
          <w:tab/>
        </w:r>
        <w:r w:rsidR="00754CE7" w:rsidRPr="00CA5F36">
          <w:rPr>
            <w:rStyle w:val="Lienhypertexte"/>
            <w:noProof/>
          </w:rPr>
          <w:t>Modification des équipements du(des) Dispositif(s) de comptage</w:t>
        </w:r>
        <w:r w:rsidR="00754CE7">
          <w:rPr>
            <w:noProof/>
            <w:webHidden/>
          </w:rPr>
          <w:tab/>
        </w:r>
        <w:r w:rsidR="00754CE7">
          <w:rPr>
            <w:noProof/>
            <w:webHidden/>
          </w:rPr>
          <w:fldChar w:fldCharType="begin"/>
        </w:r>
        <w:r w:rsidR="00754CE7">
          <w:rPr>
            <w:noProof/>
            <w:webHidden/>
          </w:rPr>
          <w:instrText xml:space="preserve"> PAGEREF _Toc21422426 \h </w:instrText>
        </w:r>
        <w:r w:rsidR="00754CE7">
          <w:rPr>
            <w:noProof/>
            <w:webHidden/>
          </w:rPr>
        </w:r>
        <w:r w:rsidR="00754CE7">
          <w:rPr>
            <w:noProof/>
            <w:webHidden/>
          </w:rPr>
          <w:fldChar w:fldCharType="separate"/>
        </w:r>
        <w:r w:rsidR="00754CE7">
          <w:rPr>
            <w:noProof/>
            <w:webHidden/>
          </w:rPr>
          <w:t>19</w:t>
        </w:r>
        <w:r w:rsidR="00754CE7">
          <w:rPr>
            <w:noProof/>
            <w:webHidden/>
          </w:rPr>
          <w:fldChar w:fldCharType="end"/>
        </w:r>
      </w:hyperlink>
    </w:p>
    <w:p w14:paraId="2538E8D3" w14:textId="77777777" w:rsidR="00754CE7" w:rsidRDefault="003306EB">
      <w:pPr>
        <w:pStyle w:val="TM3"/>
        <w:tabs>
          <w:tab w:val="left" w:pos="1701"/>
        </w:tabs>
        <w:rPr>
          <w:rFonts w:eastAsiaTheme="minorEastAsia" w:cstheme="minorBidi"/>
          <w:b w:val="0"/>
          <w:noProof/>
          <w:color w:val="auto"/>
          <w:sz w:val="22"/>
          <w:szCs w:val="22"/>
        </w:rPr>
      </w:pPr>
      <w:hyperlink w:anchor="_Toc21422427" w:history="1">
        <w:r w:rsidR="00754CE7" w:rsidRPr="00CA5F36">
          <w:rPr>
            <w:rStyle w:val="Lienhypertexte"/>
            <w:noProof/>
          </w:rPr>
          <w:t>3.1.8.</w:t>
        </w:r>
        <w:r w:rsidR="00754CE7">
          <w:rPr>
            <w:rFonts w:eastAsiaTheme="minorEastAsia" w:cstheme="minorBidi"/>
            <w:b w:val="0"/>
            <w:noProof/>
            <w:color w:val="auto"/>
            <w:sz w:val="22"/>
            <w:szCs w:val="22"/>
          </w:rPr>
          <w:tab/>
        </w:r>
        <w:r w:rsidR="00754CE7" w:rsidRPr="00CA5F36">
          <w:rPr>
            <w:rStyle w:val="Lienhypertexte"/>
            <w:noProof/>
          </w:rPr>
          <w:t>Respect du(des) Dispositif(s) de comptage</w:t>
        </w:r>
        <w:r w:rsidR="00754CE7">
          <w:rPr>
            <w:noProof/>
            <w:webHidden/>
          </w:rPr>
          <w:tab/>
        </w:r>
        <w:r w:rsidR="00754CE7">
          <w:rPr>
            <w:noProof/>
            <w:webHidden/>
          </w:rPr>
          <w:fldChar w:fldCharType="begin"/>
        </w:r>
        <w:r w:rsidR="00754CE7">
          <w:rPr>
            <w:noProof/>
            <w:webHidden/>
          </w:rPr>
          <w:instrText xml:space="preserve"> PAGEREF _Toc21422427 \h </w:instrText>
        </w:r>
        <w:r w:rsidR="00754CE7">
          <w:rPr>
            <w:noProof/>
            <w:webHidden/>
          </w:rPr>
        </w:r>
        <w:r w:rsidR="00754CE7">
          <w:rPr>
            <w:noProof/>
            <w:webHidden/>
          </w:rPr>
          <w:fldChar w:fldCharType="separate"/>
        </w:r>
        <w:r w:rsidR="00754CE7">
          <w:rPr>
            <w:noProof/>
            <w:webHidden/>
          </w:rPr>
          <w:t>19</w:t>
        </w:r>
        <w:r w:rsidR="00754CE7">
          <w:rPr>
            <w:noProof/>
            <w:webHidden/>
          </w:rPr>
          <w:fldChar w:fldCharType="end"/>
        </w:r>
      </w:hyperlink>
    </w:p>
    <w:p w14:paraId="1348AA3E" w14:textId="77777777" w:rsidR="00754CE7" w:rsidRDefault="003306EB">
      <w:pPr>
        <w:pStyle w:val="TM3"/>
        <w:tabs>
          <w:tab w:val="left" w:pos="1701"/>
        </w:tabs>
        <w:rPr>
          <w:rFonts w:eastAsiaTheme="minorEastAsia" w:cstheme="minorBidi"/>
          <w:b w:val="0"/>
          <w:noProof/>
          <w:color w:val="auto"/>
          <w:sz w:val="22"/>
          <w:szCs w:val="22"/>
        </w:rPr>
      </w:pPr>
      <w:hyperlink w:anchor="_Toc21422428" w:history="1">
        <w:r w:rsidR="00754CE7" w:rsidRPr="00CA5F36">
          <w:rPr>
            <w:rStyle w:val="Lienhypertexte"/>
            <w:noProof/>
          </w:rPr>
          <w:t>3.1.9.</w:t>
        </w:r>
        <w:r w:rsidR="00754CE7">
          <w:rPr>
            <w:rFonts w:eastAsiaTheme="minorEastAsia" w:cstheme="minorBidi"/>
            <w:b w:val="0"/>
            <w:noProof/>
            <w:color w:val="auto"/>
            <w:sz w:val="22"/>
            <w:szCs w:val="22"/>
          </w:rPr>
          <w:tab/>
        </w:r>
        <w:r w:rsidR="00754CE7" w:rsidRPr="00CA5F36">
          <w:rPr>
            <w:rStyle w:val="Lienhypertexte"/>
            <w:noProof/>
          </w:rPr>
          <w:t>Dysfonctionnement des appareils</w:t>
        </w:r>
        <w:r w:rsidR="00754CE7">
          <w:rPr>
            <w:noProof/>
            <w:webHidden/>
          </w:rPr>
          <w:tab/>
        </w:r>
        <w:r w:rsidR="00754CE7">
          <w:rPr>
            <w:noProof/>
            <w:webHidden/>
          </w:rPr>
          <w:fldChar w:fldCharType="begin"/>
        </w:r>
        <w:r w:rsidR="00754CE7">
          <w:rPr>
            <w:noProof/>
            <w:webHidden/>
          </w:rPr>
          <w:instrText xml:space="preserve"> PAGEREF _Toc21422428 \h </w:instrText>
        </w:r>
        <w:r w:rsidR="00754CE7">
          <w:rPr>
            <w:noProof/>
            <w:webHidden/>
          </w:rPr>
        </w:r>
        <w:r w:rsidR="00754CE7">
          <w:rPr>
            <w:noProof/>
            <w:webHidden/>
          </w:rPr>
          <w:fldChar w:fldCharType="separate"/>
        </w:r>
        <w:r w:rsidR="00754CE7">
          <w:rPr>
            <w:noProof/>
            <w:webHidden/>
          </w:rPr>
          <w:t>19</w:t>
        </w:r>
        <w:r w:rsidR="00754CE7">
          <w:rPr>
            <w:noProof/>
            <w:webHidden/>
          </w:rPr>
          <w:fldChar w:fldCharType="end"/>
        </w:r>
      </w:hyperlink>
    </w:p>
    <w:p w14:paraId="65B7B9DA" w14:textId="77777777" w:rsidR="00754CE7" w:rsidRDefault="003306EB">
      <w:pPr>
        <w:pStyle w:val="TM2"/>
        <w:rPr>
          <w:rFonts w:eastAsiaTheme="minorEastAsia" w:cstheme="minorBidi"/>
          <w:noProof/>
          <w:color w:val="auto"/>
          <w:szCs w:val="22"/>
        </w:rPr>
      </w:pPr>
      <w:hyperlink w:anchor="_Toc21422429" w:history="1">
        <w:r w:rsidR="00754CE7" w:rsidRPr="00CA5F36">
          <w:rPr>
            <w:rStyle w:val="Lienhypertexte"/>
            <w:noProof/>
          </w:rPr>
          <w:t>3.2.</w:t>
        </w:r>
        <w:r w:rsidR="00754CE7">
          <w:rPr>
            <w:rFonts w:eastAsiaTheme="minorEastAsia" w:cstheme="minorBidi"/>
            <w:noProof/>
            <w:color w:val="auto"/>
            <w:szCs w:val="22"/>
          </w:rPr>
          <w:tab/>
        </w:r>
        <w:r w:rsidR="00754CE7" w:rsidRPr="00CA5F36">
          <w:rPr>
            <w:rStyle w:val="Lienhypertexte"/>
            <w:noProof/>
          </w:rPr>
          <w:t>Définition et utilisation des données de comptage</w:t>
        </w:r>
        <w:r w:rsidR="00754CE7">
          <w:rPr>
            <w:noProof/>
            <w:webHidden/>
          </w:rPr>
          <w:tab/>
        </w:r>
        <w:r w:rsidR="00754CE7">
          <w:rPr>
            <w:noProof/>
            <w:webHidden/>
          </w:rPr>
          <w:fldChar w:fldCharType="begin"/>
        </w:r>
        <w:r w:rsidR="00754CE7">
          <w:rPr>
            <w:noProof/>
            <w:webHidden/>
          </w:rPr>
          <w:instrText xml:space="preserve"> PAGEREF _Toc21422429 \h </w:instrText>
        </w:r>
        <w:r w:rsidR="00754CE7">
          <w:rPr>
            <w:noProof/>
            <w:webHidden/>
          </w:rPr>
        </w:r>
        <w:r w:rsidR="00754CE7">
          <w:rPr>
            <w:noProof/>
            <w:webHidden/>
          </w:rPr>
          <w:fldChar w:fldCharType="separate"/>
        </w:r>
        <w:r w:rsidR="00754CE7">
          <w:rPr>
            <w:noProof/>
            <w:webHidden/>
          </w:rPr>
          <w:t>19</w:t>
        </w:r>
        <w:r w:rsidR="00754CE7">
          <w:rPr>
            <w:noProof/>
            <w:webHidden/>
          </w:rPr>
          <w:fldChar w:fldCharType="end"/>
        </w:r>
      </w:hyperlink>
    </w:p>
    <w:p w14:paraId="5461DC47" w14:textId="77777777" w:rsidR="00754CE7" w:rsidRDefault="003306EB">
      <w:pPr>
        <w:pStyle w:val="TM3"/>
        <w:tabs>
          <w:tab w:val="left" w:pos="1701"/>
        </w:tabs>
        <w:rPr>
          <w:rFonts w:eastAsiaTheme="minorEastAsia" w:cstheme="minorBidi"/>
          <w:b w:val="0"/>
          <w:noProof/>
          <w:color w:val="auto"/>
          <w:sz w:val="22"/>
          <w:szCs w:val="22"/>
        </w:rPr>
      </w:pPr>
      <w:hyperlink w:anchor="_Toc21422430" w:history="1">
        <w:r w:rsidR="00754CE7" w:rsidRPr="00CA5F36">
          <w:rPr>
            <w:rStyle w:val="Lienhypertexte"/>
            <w:noProof/>
          </w:rPr>
          <w:t>3.2.1.</w:t>
        </w:r>
        <w:r w:rsidR="00754CE7">
          <w:rPr>
            <w:rFonts w:eastAsiaTheme="minorEastAsia" w:cstheme="minorBidi"/>
            <w:b w:val="0"/>
            <w:noProof/>
            <w:color w:val="auto"/>
            <w:sz w:val="22"/>
            <w:szCs w:val="22"/>
          </w:rPr>
          <w:tab/>
        </w:r>
        <w:r w:rsidR="00754CE7" w:rsidRPr="00CA5F36">
          <w:rPr>
            <w:rStyle w:val="Lienhypertexte"/>
            <w:noProof/>
          </w:rPr>
          <w:t>Données de comptage</w:t>
        </w:r>
        <w:r w:rsidR="00754CE7">
          <w:rPr>
            <w:noProof/>
            <w:webHidden/>
          </w:rPr>
          <w:tab/>
        </w:r>
        <w:r w:rsidR="00754CE7">
          <w:rPr>
            <w:noProof/>
            <w:webHidden/>
          </w:rPr>
          <w:fldChar w:fldCharType="begin"/>
        </w:r>
        <w:r w:rsidR="00754CE7">
          <w:rPr>
            <w:noProof/>
            <w:webHidden/>
          </w:rPr>
          <w:instrText xml:space="preserve"> PAGEREF _Toc21422430 \h </w:instrText>
        </w:r>
        <w:r w:rsidR="00754CE7">
          <w:rPr>
            <w:noProof/>
            <w:webHidden/>
          </w:rPr>
        </w:r>
        <w:r w:rsidR="00754CE7">
          <w:rPr>
            <w:noProof/>
            <w:webHidden/>
          </w:rPr>
          <w:fldChar w:fldCharType="separate"/>
        </w:r>
        <w:r w:rsidR="00754CE7">
          <w:rPr>
            <w:noProof/>
            <w:webHidden/>
          </w:rPr>
          <w:t>19</w:t>
        </w:r>
        <w:r w:rsidR="00754CE7">
          <w:rPr>
            <w:noProof/>
            <w:webHidden/>
          </w:rPr>
          <w:fldChar w:fldCharType="end"/>
        </w:r>
      </w:hyperlink>
    </w:p>
    <w:p w14:paraId="494C61D7" w14:textId="77777777" w:rsidR="00754CE7" w:rsidRDefault="003306EB">
      <w:pPr>
        <w:pStyle w:val="TM3"/>
        <w:tabs>
          <w:tab w:val="left" w:pos="1701"/>
        </w:tabs>
        <w:rPr>
          <w:rFonts w:eastAsiaTheme="minorEastAsia" w:cstheme="minorBidi"/>
          <w:b w:val="0"/>
          <w:noProof/>
          <w:color w:val="auto"/>
          <w:sz w:val="22"/>
          <w:szCs w:val="22"/>
        </w:rPr>
      </w:pPr>
      <w:hyperlink w:anchor="_Toc21422431" w:history="1">
        <w:r w:rsidR="00754CE7" w:rsidRPr="00CA5F36">
          <w:rPr>
            <w:rStyle w:val="Lienhypertexte"/>
            <w:noProof/>
          </w:rPr>
          <w:t>3.2.2.</w:t>
        </w:r>
        <w:r w:rsidR="00754CE7">
          <w:rPr>
            <w:rFonts w:eastAsiaTheme="minorEastAsia" w:cstheme="minorBidi"/>
            <w:b w:val="0"/>
            <w:noProof/>
            <w:color w:val="auto"/>
            <w:sz w:val="22"/>
            <w:szCs w:val="22"/>
          </w:rPr>
          <w:tab/>
        </w:r>
        <w:r w:rsidR="00754CE7" w:rsidRPr="00CA5F36">
          <w:rPr>
            <w:rStyle w:val="Lienhypertexte"/>
            <w:noProof/>
          </w:rPr>
          <w:t>Prestations de comptage de base</w:t>
        </w:r>
        <w:r w:rsidR="00754CE7">
          <w:rPr>
            <w:noProof/>
            <w:webHidden/>
          </w:rPr>
          <w:tab/>
        </w:r>
        <w:r w:rsidR="00754CE7">
          <w:rPr>
            <w:noProof/>
            <w:webHidden/>
          </w:rPr>
          <w:fldChar w:fldCharType="begin"/>
        </w:r>
        <w:r w:rsidR="00754CE7">
          <w:rPr>
            <w:noProof/>
            <w:webHidden/>
          </w:rPr>
          <w:instrText xml:space="preserve"> PAGEREF _Toc21422431 \h </w:instrText>
        </w:r>
        <w:r w:rsidR="00754CE7">
          <w:rPr>
            <w:noProof/>
            <w:webHidden/>
          </w:rPr>
        </w:r>
        <w:r w:rsidR="00754CE7">
          <w:rPr>
            <w:noProof/>
            <w:webHidden/>
          </w:rPr>
          <w:fldChar w:fldCharType="separate"/>
        </w:r>
        <w:r w:rsidR="00754CE7">
          <w:rPr>
            <w:noProof/>
            <w:webHidden/>
          </w:rPr>
          <w:t>20</w:t>
        </w:r>
        <w:r w:rsidR="00754CE7">
          <w:rPr>
            <w:noProof/>
            <w:webHidden/>
          </w:rPr>
          <w:fldChar w:fldCharType="end"/>
        </w:r>
      </w:hyperlink>
    </w:p>
    <w:p w14:paraId="12524AFA" w14:textId="77777777" w:rsidR="00754CE7" w:rsidRDefault="003306EB">
      <w:pPr>
        <w:pStyle w:val="TM3"/>
        <w:tabs>
          <w:tab w:val="left" w:pos="1701"/>
        </w:tabs>
        <w:rPr>
          <w:rFonts w:eastAsiaTheme="minorEastAsia" w:cstheme="minorBidi"/>
          <w:b w:val="0"/>
          <w:noProof/>
          <w:color w:val="auto"/>
          <w:sz w:val="22"/>
          <w:szCs w:val="22"/>
        </w:rPr>
      </w:pPr>
      <w:hyperlink w:anchor="_Toc21422432" w:history="1">
        <w:r w:rsidR="00754CE7" w:rsidRPr="00CA5F36">
          <w:rPr>
            <w:rStyle w:val="Lienhypertexte"/>
            <w:noProof/>
          </w:rPr>
          <w:t>3.2.3.</w:t>
        </w:r>
        <w:r w:rsidR="00754CE7">
          <w:rPr>
            <w:rFonts w:eastAsiaTheme="minorEastAsia" w:cstheme="minorBidi"/>
            <w:b w:val="0"/>
            <w:noProof/>
            <w:color w:val="auto"/>
            <w:sz w:val="22"/>
            <w:szCs w:val="22"/>
          </w:rPr>
          <w:tab/>
        </w:r>
        <w:r w:rsidR="00754CE7" w:rsidRPr="00CA5F36">
          <w:rPr>
            <w:rStyle w:val="Lienhypertexte"/>
            <w:noProof/>
          </w:rPr>
          <w:t>Prestations de comptage complémentaires</w:t>
        </w:r>
        <w:r w:rsidR="00754CE7">
          <w:rPr>
            <w:noProof/>
            <w:webHidden/>
          </w:rPr>
          <w:tab/>
        </w:r>
        <w:r w:rsidR="00754CE7">
          <w:rPr>
            <w:noProof/>
            <w:webHidden/>
          </w:rPr>
          <w:fldChar w:fldCharType="begin"/>
        </w:r>
        <w:r w:rsidR="00754CE7">
          <w:rPr>
            <w:noProof/>
            <w:webHidden/>
          </w:rPr>
          <w:instrText xml:space="preserve"> PAGEREF _Toc21422432 \h </w:instrText>
        </w:r>
        <w:r w:rsidR="00754CE7">
          <w:rPr>
            <w:noProof/>
            <w:webHidden/>
          </w:rPr>
        </w:r>
        <w:r w:rsidR="00754CE7">
          <w:rPr>
            <w:noProof/>
            <w:webHidden/>
          </w:rPr>
          <w:fldChar w:fldCharType="separate"/>
        </w:r>
        <w:r w:rsidR="00754CE7">
          <w:rPr>
            <w:noProof/>
            <w:webHidden/>
          </w:rPr>
          <w:t>21</w:t>
        </w:r>
        <w:r w:rsidR="00754CE7">
          <w:rPr>
            <w:noProof/>
            <w:webHidden/>
          </w:rPr>
          <w:fldChar w:fldCharType="end"/>
        </w:r>
      </w:hyperlink>
    </w:p>
    <w:p w14:paraId="7A131270" w14:textId="77777777" w:rsidR="00754CE7" w:rsidRDefault="003306EB">
      <w:pPr>
        <w:pStyle w:val="TM3"/>
        <w:tabs>
          <w:tab w:val="left" w:pos="1701"/>
        </w:tabs>
        <w:rPr>
          <w:rFonts w:eastAsiaTheme="minorEastAsia" w:cstheme="minorBidi"/>
          <w:b w:val="0"/>
          <w:noProof/>
          <w:color w:val="auto"/>
          <w:sz w:val="22"/>
          <w:szCs w:val="22"/>
        </w:rPr>
      </w:pPr>
      <w:hyperlink w:anchor="_Toc21422433" w:history="1">
        <w:r w:rsidR="00754CE7" w:rsidRPr="00CA5F36">
          <w:rPr>
            <w:rStyle w:val="Lienhypertexte"/>
            <w:noProof/>
          </w:rPr>
          <w:t>3.2.4.</w:t>
        </w:r>
        <w:r w:rsidR="00754CE7">
          <w:rPr>
            <w:rFonts w:eastAsiaTheme="minorEastAsia" w:cstheme="minorBidi"/>
            <w:b w:val="0"/>
            <w:noProof/>
            <w:color w:val="auto"/>
            <w:sz w:val="22"/>
            <w:szCs w:val="22"/>
          </w:rPr>
          <w:tab/>
        </w:r>
        <w:r w:rsidR="00754CE7" w:rsidRPr="00CA5F36">
          <w:rPr>
            <w:rStyle w:val="Lienhypertexte"/>
            <w:noProof/>
          </w:rPr>
          <w:t>Modalités de correction ou de remplacement en cas de défaillance du Dispositif de comptage ou de fraude</w:t>
        </w:r>
        <w:r w:rsidR="00754CE7">
          <w:rPr>
            <w:noProof/>
            <w:webHidden/>
          </w:rPr>
          <w:tab/>
        </w:r>
        <w:r w:rsidR="00754CE7">
          <w:rPr>
            <w:noProof/>
            <w:webHidden/>
          </w:rPr>
          <w:fldChar w:fldCharType="begin"/>
        </w:r>
        <w:r w:rsidR="00754CE7">
          <w:rPr>
            <w:noProof/>
            <w:webHidden/>
          </w:rPr>
          <w:instrText xml:space="preserve"> PAGEREF _Toc21422433 \h </w:instrText>
        </w:r>
        <w:r w:rsidR="00754CE7">
          <w:rPr>
            <w:noProof/>
            <w:webHidden/>
          </w:rPr>
        </w:r>
        <w:r w:rsidR="00754CE7">
          <w:rPr>
            <w:noProof/>
            <w:webHidden/>
          </w:rPr>
          <w:fldChar w:fldCharType="separate"/>
        </w:r>
        <w:r w:rsidR="00754CE7">
          <w:rPr>
            <w:noProof/>
            <w:webHidden/>
          </w:rPr>
          <w:t>21</w:t>
        </w:r>
        <w:r w:rsidR="00754CE7">
          <w:rPr>
            <w:noProof/>
            <w:webHidden/>
          </w:rPr>
          <w:fldChar w:fldCharType="end"/>
        </w:r>
      </w:hyperlink>
    </w:p>
    <w:p w14:paraId="48B746AD" w14:textId="77777777" w:rsidR="00754CE7" w:rsidRDefault="003306EB">
      <w:pPr>
        <w:pStyle w:val="TM3"/>
        <w:tabs>
          <w:tab w:val="left" w:pos="1701"/>
        </w:tabs>
        <w:rPr>
          <w:rFonts w:eastAsiaTheme="minorEastAsia" w:cstheme="minorBidi"/>
          <w:b w:val="0"/>
          <w:noProof/>
          <w:color w:val="auto"/>
          <w:sz w:val="22"/>
          <w:szCs w:val="22"/>
        </w:rPr>
      </w:pPr>
      <w:hyperlink w:anchor="_Toc21422434" w:history="1">
        <w:r w:rsidR="00754CE7" w:rsidRPr="00CA5F36">
          <w:rPr>
            <w:rStyle w:val="Lienhypertexte"/>
            <w:noProof/>
          </w:rPr>
          <w:t>3.2.5.</w:t>
        </w:r>
        <w:r w:rsidR="00754CE7">
          <w:rPr>
            <w:rFonts w:eastAsiaTheme="minorEastAsia" w:cstheme="minorBidi"/>
            <w:b w:val="0"/>
            <w:noProof/>
            <w:color w:val="auto"/>
            <w:sz w:val="22"/>
            <w:szCs w:val="22"/>
          </w:rPr>
          <w:tab/>
        </w:r>
        <w:r w:rsidR="00754CE7" w:rsidRPr="00CA5F36">
          <w:rPr>
            <w:rStyle w:val="Lienhypertexte"/>
            <w:noProof/>
          </w:rPr>
          <w:t>Contestation des données issues du Dispositif de comptage</w:t>
        </w:r>
        <w:r w:rsidR="00754CE7">
          <w:rPr>
            <w:noProof/>
            <w:webHidden/>
          </w:rPr>
          <w:tab/>
        </w:r>
        <w:r w:rsidR="00754CE7">
          <w:rPr>
            <w:noProof/>
            <w:webHidden/>
          </w:rPr>
          <w:fldChar w:fldCharType="begin"/>
        </w:r>
        <w:r w:rsidR="00754CE7">
          <w:rPr>
            <w:noProof/>
            <w:webHidden/>
          </w:rPr>
          <w:instrText xml:space="preserve"> PAGEREF _Toc21422434 \h </w:instrText>
        </w:r>
        <w:r w:rsidR="00754CE7">
          <w:rPr>
            <w:noProof/>
            <w:webHidden/>
          </w:rPr>
        </w:r>
        <w:r w:rsidR="00754CE7">
          <w:rPr>
            <w:noProof/>
            <w:webHidden/>
          </w:rPr>
          <w:fldChar w:fldCharType="separate"/>
        </w:r>
        <w:r w:rsidR="00754CE7">
          <w:rPr>
            <w:noProof/>
            <w:webHidden/>
          </w:rPr>
          <w:t>22</w:t>
        </w:r>
        <w:r w:rsidR="00754CE7">
          <w:rPr>
            <w:noProof/>
            <w:webHidden/>
          </w:rPr>
          <w:fldChar w:fldCharType="end"/>
        </w:r>
      </w:hyperlink>
    </w:p>
    <w:p w14:paraId="3A1F3B95" w14:textId="77777777" w:rsidR="00754CE7" w:rsidRDefault="003306EB">
      <w:pPr>
        <w:pStyle w:val="TM2"/>
        <w:rPr>
          <w:rFonts w:eastAsiaTheme="minorEastAsia" w:cstheme="minorBidi"/>
          <w:noProof/>
          <w:color w:val="auto"/>
          <w:szCs w:val="22"/>
        </w:rPr>
      </w:pPr>
      <w:hyperlink w:anchor="_Toc21422435" w:history="1">
        <w:r w:rsidR="00754CE7" w:rsidRPr="00CA5F36">
          <w:rPr>
            <w:rStyle w:val="Lienhypertexte"/>
            <w:noProof/>
          </w:rPr>
          <w:t>3.3.</w:t>
        </w:r>
        <w:r w:rsidR="00754CE7">
          <w:rPr>
            <w:rFonts w:eastAsiaTheme="minorEastAsia" w:cstheme="minorBidi"/>
            <w:noProof/>
            <w:color w:val="auto"/>
            <w:szCs w:val="22"/>
          </w:rPr>
          <w:tab/>
        </w:r>
        <w:r w:rsidR="00754CE7" w:rsidRPr="00CA5F36">
          <w:rPr>
            <w:rStyle w:val="Lienhypertexte"/>
            <w:noProof/>
          </w:rPr>
          <w:t>Accès aux données de comptage</w:t>
        </w:r>
        <w:r w:rsidR="00754CE7">
          <w:rPr>
            <w:noProof/>
            <w:webHidden/>
          </w:rPr>
          <w:tab/>
        </w:r>
        <w:r w:rsidR="00754CE7">
          <w:rPr>
            <w:noProof/>
            <w:webHidden/>
          </w:rPr>
          <w:fldChar w:fldCharType="begin"/>
        </w:r>
        <w:r w:rsidR="00754CE7">
          <w:rPr>
            <w:noProof/>
            <w:webHidden/>
          </w:rPr>
          <w:instrText xml:space="preserve"> PAGEREF _Toc21422435 \h </w:instrText>
        </w:r>
        <w:r w:rsidR="00754CE7">
          <w:rPr>
            <w:noProof/>
            <w:webHidden/>
          </w:rPr>
        </w:r>
        <w:r w:rsidR="00754CE7">
          <w:rPr>
            <w:noProof/>
            <w:webHidden/>
          </w:rPr>
          <w:fldChar w:fldCharType="separate"/>
        </w:r>
        <w:r w:rsidR="00754CE7">
          <w:rPr>
            <w:noProof/>
            <w:webHidden/>
          </w:rPr>
          <w:t>22</w:t>
        </w:r>
        <w:r w:rsidR="00754CE7">
          <w:rPr>
            <w:noProof/>
            <w:webHidden/>
          </w:rPr>
          <w:fldChar w:fldCharType="end"/>
        </w:r>
      </w:hyperlink>
    </w:p>
    <w:p w14:paraId="5B3D89B6" w14:textId="77777777" w:rsidR="00754CE7" w:rsidRDefault="003306EB">
      <w:pPr>
        <w:pStyle w:val="TM1"/>
        <w:rPr>
          <w:rFonts w:eastAsiaTheme="minorEastAsia" w:cstheme="minorBidi"/>
          <w:b w:val="0"/>
          <w:noProof/>
          <w:color w:val="auto"/>
          <w:sz w:val="22"/>
          <w:szCs w:val="22"/>
        </w:rPr>
      </w:pPr>
      <w:hyperlink w:anchor="_Toc21422436" w:history="1">
        <w:r w:rsidR="00754CE7" w:rsidRPr="00CA5F36">
          <w:rPr>
            <w:rStyle w:val="Lienhypertexte"/>
            <w:bCs/>
            <w:noProof/>
          </w:rPr>
          <w:t>4.</w:t>
        </w:r>
        <w:r w:rsidR="00754CE7">
          <w:rPr>
            <w:rFonts w:eastAsiaTheme="minorEastAsia" w:cstheme="minorBidi"/>
            <w:b w:val="0"/>
            <w:noProof/>
            <w:color w:val="auto"/>
            <w:sz w:val="22"/>
            <w:szCs w:val="22"/>
          </w:rPr>
          <w:tab/>
        </w:r>
        <w:r w:rsidR="00754CE7" w:rsidRPr="00CA5F36">
          <w:rPr>
            <w:rStyle w:val="Lienhypertexte"/>
            <w:noProof/>
          </w:rPr>
          <w:t>Puissances Souscrites</w:t>
        </w:r>
        <w:r w:rsidR="00754CE7">
          <w:rPr>
            <w:noProof/>
            <w:webHidden/>
          </w:rPr>
          <w:tab/>
        </w:r>
        <w:r w:rsidR="00754CE7">
          <w:rPr>
            <w:noProof/>
            <w:webHidden/>
          </w:rPr>
          <w:fldChar w:fldCharType="begin"/>
        </w:r>
        <w:r w:rsidR="00754CE7">
          <w:rPr>
            <w:noProof/>
            <w:webHidden/>
          </w:rPr>
          <w:instrText xml:space="preserve"> PAGEREF _Toc21422436 \h </w:instrText>
        </w:r>
        <w:r w:rsidR="00754CE7">
          <w:rPr>
            <w:noProof/>
            <w:webHidden/>
          </w:rPr>
        </w:r>
        <w:r w:rsidR="00754CE7">
          <w:rPr>
            <w:noProof/>
            <w:webHidden/>
          </w:rPr>
          <w:fldChar w:fldCharType="separate"/>
        </w:r>
        <w:r w:rsidR="00754CE7">
          <w:rPr>
            <w:noProof/>
            <w:webHidden/>
          </w:rPr>
          <w:t>22</w:t>
        </w:r>
        <w:r w:rsidR="00754CE7">
          <w:rPr>
            <w:noProof/>
            <w:webHidden/>
          </w:rPr>
          <w:fldChar w:fldCharType="end"/>
        </w:r>
      </w:hyperlink>
    </w:p>
    <w:p w14:paraId="62D8E900" w14:textId="77777777" w:rsidR="00754CE7" w:rsidRDefault="003306EB">
      <w:pPr>
        <w:pStyle w:val="TM2"/>
        <w:rPr>
          <w:rFonts w:eastAsiaTheme="minorEastAsia" w:cstheme="minorBidi"/>
          <w:noProof/>
          <w:color w:val="auto"/>
          <w:szCs w:val="22"/>
        </w:rPr>
      </w:pPr>
      <w:hyperlink w:anchor="_Toc21422437" w:history="1">
        <w:r w:rsidR="00754CE7" w:rsidRPr="00CA5F36">
          <w:rPr>
            <w:rStyle w:val="Lienhypertexte"/>
            <w:noProof/>
          </w:rPr>
          <w:t>4.1.</w:t>
        </w:r>
        <w:r w:rsidR="00754CE7">
          <w:rPr>
            <w:rFonts w:eastAsiaTheme="minorEastAsia" w:cstheme="minorBidi"/>
            <w:noProof/>
            <w:color w:val="auto"/>
            <w:szCs w:val="22"/>
          </w:rPr>
          <w:tab/>
        </w:r>
        <w:r w:rsidR="00754CE7" w:rsidRPr="00CA5F36">
          <w:rPr>
            <w:rStyle w:val="Lienhypertexte"/>
            <w:noProof/>
          </w:rPr>
          <w:t>Choix de la (des) Puissance(s) Souscrite(s)</w:t>
        </w:r>
        <w:r w:rsidR="00754CE7">
          <w:rPr>
            <w:noProof/>
            <w:webHidden/>
          </w:rPr>
          <w:tab/>
        </w:r>
        <w:r w:rsidR="00754CE7">
          <w:rPr>
            <w:noProof/>
            <w:webHidden/>
          </w:rPr>
          <w:fldChar w:fldCharType="begin"/>
        </w:r>
        <w:r w:rsidR="00754CE7">
          <w:rPr>
            <w:noProof/>
            <w:webHidden/>
          </w:rPr>
          <w:instrText xml:space="preserve"> PAGEREF _Toc21422437 \h </w:instrText>
        </w:r>
        <w:r w:rsidR="00754CE7">
          <w:rPr>
            <w:noProof/>
            <w:webHidden/>
          </w:rPr>
        </w:r>
        <w:r w:rsidR="00754CE7">
          <w:rPr>
            <w:noProof/>
            <w:webHidden/>
          </w:rPr>
          <w:fldChar w:fldCharType="separate"/>
        </w:r>
        <w:r w:rsidR="00754CE7">
          <w:rPr>
            <w:noProof/>
            <w:webHidden/>
          </w:rPr>
          <w:t>22</w:t>
        </w:r>
        <w:r w:rsidR="00754CE7">
          <w:rPr>
            <w:noProof/>
            <w:webHidden/>
          </w:rPr>
          <w:fldChar w:fldCharType="end"/>
        </w:r>
      </w:hyperlink>
    </w:p>
    <w:p w14:paraId="366F95B1" w14:textId="77777777" w:rsidR="00754CE7" w:rsidRDefault="003306EB">
      <w:pPr>
        <w:pStyle w:val="TM3"/>
        <w:tabs>
          <w:tab w:val="left" w:pos="1701"/>
        </w:tabs>
        <w:rPr>
          <w:rFonts w:eastAsiaTheme="minorEastAsia" w:cstheme="minorBidi"/>
          <w:b w:val="0"/>
          <w:noProof/>
          <w:color w:val="auto"/>
          <w:sz w:val="22"/>
          <w:szCs w:val="22"/>
        </w:rPr>
      </w:pPr>
      <w:hyperlink w:anchor="_Toc21422438" w:history="1">
        <w:r w:rsidR="00754CE7" w:rsidRPr="00CA5F36">
          <w:rPr>
            <w:rStyle w:val="Lienhypertexte"/>
            <w:noProof/>
          </w:rPr>
          <w:t>4.1.1.</w:t>
        </w:r>
        <w:r w:rsidR="00754CE7">
          <w:rPr>
            <w:rFonts w:eastAsiaTheme="minorEastAsia" w:cstheme="minorBidi"/>
            <w:b w:val="0"/>
            <w:noProof/>
            <w:color w:val="auto"/>
            <w:sz w:val="22"/>
            <w:szCs w:val="22"/>
          </w:rPr>
          <w:tab/>
        </w:r>
        <w:r w:rsidR="00754CE7" w:rsidRPr="00CA5F36">
          <w:rPr>
            <w:rStyle w:val="Lienhypertexte"/>
            <w:noProof/>
          </w:rPr>
          <w:t>Principe général du choix de(s) Puissance(s) Souscrite(s)</w:t>
        </w:r>
        <w:r w:rsidR="00754CE7">
          <w:rPr>
            <w:noProof/>
            <w:webHidden/>
          </w:rPr>
          <w:tab/>
        </w:r>
        <w:r w:rsidR="00754CE7">
          <w:rPr>
            <w:noProof/>
            <w:webHidden/>
          </w:rPr>
          <w:fldChar w:fldCharType="begin"/>
        </w:r>
        <w:r w:rsidR="00754CE7">
          <w:rPr>
            <w:noProof/>
            <w:webHidden/>
          </w:rPr>
          <w:instrText xml:space="preserve"> PAGEREF _Toc21422438 \h </w:instrText>
        </w:r>
        <w:r w:rsidR="00754CE7">
          <w:rPr>
            <w:noProof/>
            <w:webHidden/>
          </w:rPr>
        </w:r>
        <w:r w:rsidR="00754CE7">
          <w:rPr>
            <w:noProof/>
            <w:webHidden/>
          </w:rPr>
          <w:fldChar w:fldCharType="separate"/>
        </w:r>
        <w:r w:rsidR="00754CE7">
          <w:rPr>
            <w:noProof/>
            <w:webHidden/>
          </w:rPr>
          <w:t>22</w:t>
        </w:r>
        <w:r w:rsidR="00754CE7">
          <w:rPr>
            <w:noProof/>
            <w:webHidden/>
          </w:rPr>
          <w:fldChar w:fldCharType="end"/>
        </w:r>
      </w:hyperlink>
    </w:p>
    <w:p w14:paraId="71CE8855" w14:textId="77777777" w:rsidR="00754CE7" w:rsidRDefault="003306EB">
      <w:pPr>
        <w:pStyle w:val="TM3"/>
        <w:tabs>
          <w:tab w:val="left" w:pos="1701"/>
        </w:tabs>
        <w:rPr>
          <w:rFonts w:eastAsiaTheme="minorEastAsia" w:cstheme="minorBidi"/>
          <w:b w:val="0"/>
          <w:noProof/>
          <w:color w:val="auto"/>
          <w:sz w:val="22"/>
          <w:szCs w:val="22"/>
        </w:rPr>
      </w:pPr>
      <w:hyperlink w:anchor="_Toc21422439" w:history="1">
        <w:r w:rsidR="00754CE7" w:rsidRPr="00CA5F36">
          <w:rPr>
            <w:rStyle w:val="Lienhypertexte"/>
            <w:noProof/>
          </w:rPr>
          <w:t>4.1.2.</w:t>
        </w:r>
        <w:r w:rsidR="00754CE7">
          <w:rPr>
            <w:rFonts w:eastAsiaTheme="minorEastAsia" w:cstheme="minorBidi"/>
            <w:b w:val="0"/>
            <w:noProof/>
            <w:color w:val="auto"/>
            <w:sz w:val="22"/>
            <w:szCs w:val="22"/>
          </w:rPr>
          <w:tab/>
        </w:r>
        <w:r w:rsidR="00754CE7" w:rsidRPr="00CA5F36">
          <w:rPr>
            <w:rStyle w:val="Lienhypertexte"/>
            <w:noProof/>
          </w:rPr>
          <w:t>Ouverture d’une période d’observation lors de la souscription du Contrat Unique</w:t>
        </w:r>
        <w:r w:rsidR="00754CE7">
          <w:rPr>
            <w:noProof/>
            <w:webHidden/>
          </w:rPr>
          <w:tab/>
        </w:r>
        <w:r w:rsidR="00754CE7">
          <w:rPr>
            <w:noProof/>
            <w:webHidden/>
          </w:rPr>
          <w:fldChar w:fldCharType="begin"/>
        </w:r>
        <w:r w:rsidR="00754CE7">
          <w:rPr>
            <w:noProof/>
            <w:webHidden/>
          </w:rPr>
          <w:instrText xml:space="preserve"> PAGEREF _Toc21422439 \h </w:instrText>
        </w:r>
        <w:r w:rsidR="00754CE7">
          <w:rPr>
            <w:noProof/>
            <w:webHidden/>
          </w:rPr>
        </w:r>
        <w:r w:rsidR="00754CE7">
          <w:rPr>
            <w:noProof/>
            <w:webHidden/>
          </w:rPr>
          <w:fldChar w:fldCharType="separate"/>
        </w:r>
        <w:r w:rsidR="00754CE7">
          <w:rPr>
            <w:noProof/>
            <w:webHidden/>
          </w:rPr>
          <w:t>23</w:t>
        </w:r>
        <w:r w:rsidR="00754CE7">
          <w:rPr>
            <w:noProof/>
            <w:webHidden/>
          </w:rPr>
          <w:fldChar w:fldCharType="end"/>
        </w:r>
      </w:hyperlink>
    </w:p>
    <w:p w14:paraId="1B510756" w14:textId="77777777" w:rsidR="00754CE7" w:rsidRDefault="003306EB">
      <w:pPr>
        <w:pStyle w:val="TM3"/>
        <w:tabs>
          <w:tab w:val="left" w:pos="1701"/>
        </w:tabs>
        <w:rPr>
          <w:rFonts w:eastAsiaTheme="minorEastAsia" w:cstheme="minorBidi"/>
          <w:b w:val="0"/>
          <w:noProof/>
          <w:color w:val="auto"/>
          <w:sz w:val="22"/>
          <w:szCs w:val="22"/>
        </w:rPr>
      </w:pPr>
      <w:hyperlink w:anchor="_Toc21422440" w:history="1">
        <w:r w:rsidR="00754CE7" w:rsidRPr="00CA5F36">
          <w:rPr>
            <w:rStyle w:val="Lienhypertexte"/>
            <w:noProof/>
          </w:rPr>
          <w:t>4.1.3.</w:t>
        </w:r>
        <w:r w:rsidR="00754CE7">
          <w:rPr>
            <w:rFonts w:eastAsiaTheme="minorEastAsia" w:cstheme="minorBidi"/>
            <w:b w:val="0"/>
            <w:noProof/>
            <w:color w:val="auto"/>
            <w:sz w:val="22"/>
            <w:szCs w:val="22"/>
          </w:rPr>
          <w:tab/>
        </w:r>
        <w:r w:rsidR="00754CE7" w:rsidRPr="00CA5F36">
          <w:rPr>
            <w:rStyle w:val="Lienhypertexte"/>
            <w:noProof/>
          </w:rPr>
          <w:t>Clôture de la période d’observation</w:t>
        </w:r>
        <w:r w:rsidR="00754CE7">
          <w:rPr>
            <w:noProof/>
            <w:webHidden/>
          </w:rPr>
          <w:tab/>
        </w:r>
        <w:r w:rsidR="00754CE7">
          <w:rPr>
            <w:noProof/>
            <w:webHidden/>
          </w:rPr>
          <w:fldChar w:fldCharType="begin"/>
        </w:r>
        <w:r w:rsidR="00754CE7">
          <w:rPr>
            <w:noProof/>
            <w:webHidden/>
          </w:rPr>
          <w:instrText xml:space="preserve"> PAGEREF _Toc21422440 \h </w:instrText>
        </w:r>
        <w:r w:rsidR="00754CE7">
          <w:rPr>
            <w:noProof/>
            <w:webHidden/>
          </w:rPr>
        </w:r>
        <w:r w:rsidR="00754CE7">
          <w:rPr>
            <w:noProof/>
            <w:webHidden/>
          </w:rPr>
          <w:fldChar w:fldCharType="separate"/>
        </w:r>
        <w:r w:rsidR="00754CE7">
          <w:rPr>
            <w:noProof/>
            <w:webHidden/>
          </w:rPr>
          <w:t>23</w:t>
        </w:r>
        <w:r w:rsidR="00754CE7">
          <w:rPr>
            <w:noProof/>
            <w:webHidden/>
          </w:rPr>
          <w:fldChar w:fldCharType="end"/>
        </w:r>
      </w:hyperlink>
    </w:p>
    <w:p w14:paraId="0E933BCC" w14:textId="77777777" w:rsidR="00754CE7" w:rsidRDefault="003306EB">
      <w:pPr>
        <w:pStyle w:val="TM3"/>
        <w:tabs>
          <w:tab w:val="left" w:pos="1701"/>
        </w:tabs>
        <w:rPr>
          <w:rFonts w:eastAsiaTheme="minorEastAsia" w:cstheme="minorBidi"/>
          <w:b w:val="0"/>
          <w:noProof/>
          <w:color w:val="auto"/>
          <w:sz w:val="22"/>
          <w:szCs w:val="22"/>
        </w:rPr>
      </w:pPr>
      <w:hyperlink w:anchor="_Toc21422441" w:history="1">
        <w:r w:rsidR="00754CE7" w:rsidRPr="00CA5F36">
          <w:rPr>
            <w:rStyle w:val="Lienhypertexte"/>
            <w:noProof/>
          </w:rPr>
          <w:t>4.1.4.</w:t>
        </w:r>
        <w:r w:rsidR="00754CE7">
          <w:rPr>
            <w:rFonts w:eastAsiaTheme="minorEastAsia" w:cstheme="minorBidi"/>
            <w:b w:val="0"/>
            <w:noProof/>
            <w:color w:val="auto"/>
            <w:sz w:val="22"/>
            <w:szCs w:val="22"/>
          </w:rPr>
          <w:tab/>
        </w:r>
        <w:r w:rsidR="00754CE7" w:rsidRPr="00CA5F36">
          <w:rPr>
            <w:rStyle w:val="Lienhypertexte"/>
            <w:noProof/>
          </w:rPr>
          <w:t>Cas particulier du regroupement conventionnel</w:t>
        </w:r>
        <w:r w:rsidR="00754CE7">
          <w:rPr>
            <w:noProof/>
            <w:webHidden/>
          </w:rPr>
          <w:tab/>
        </w:r>
        <w:r w:rsidR="00754CE7">
          <w:rPr>
            <w:noProof/>
            <w:webHidden/>
          </w:rPr>
          <w:fldChar w:fldCharType="begin"/>
        </w:r>
        <w:r w:rsidR="00754CE7">
          <w:rPr>
            <w:noProof/>
            <w:webHidden/>
          </w:rPr>
          <w:instrText xml:space="preserve"> PAGEREF _Toc21422441 \h </w:instrText>
        </w:r>
        <w:r w:rsidR="00754CE7">
          <w:rPr>
            <w:noProof/>
            <w:webHidden/>
          </w:rPr>
        </w:r>
        <w:r w:rsidR="00754CE7">
          <w:rPr>
            <w:noProof/>
            <w:webHidden/>
          </w:rPr>
          <w:fldChar w:fldCharType="separate"/>
        </w:r>
        <w:r w:rsidR="00754CE7">
          <w:rPr>
            <w:noProof/>
            <w:webHidden/>
          </w:rPr>
          <w:t>23</w:t>
        </w:r>
        <w:r w:rsidR="00754CE7">
          <w:rPr>
            <w:noProof/>
            <w:webHidden/>
          </w:rPr>
          <w:fldChar w:fldCharType="end"/>
        </w:r>
      </w:hyperlink>
    </w:p>
    <w:p w14:paraId="4169B483" w14:textId="77777777" w:rsidR="00754CE7" w:rsidRDefault="003306EB">
      <w:pPr>
        <w:pStyle w:val="TM2"/>
        <w:rPr>
          <w:rFonts w:eastAsiaTheme="minorEastAsia" w:cstheme="minorBidi"/>
          <w:noProof/>
          <w:color w:val="auto"/>
          <w:szCs w:val="22"/>
        </w:rPr>
      </w:pPr>
      <w:hyperlink w:anchor="_Toc21422442" w:history="1">
        <w:r w:rsidR="00754CE7" w:rsidRPr="00CA5F36">
          <w:rPr>
            <w:rStyle w:val="Lienhypertexte"/>
            <w:noProof/>
          </w:rPr>
          <w:t>4.2.</w:t>
        </w:r>
        <w:r w:rsidR="00754CE7">
          <w:rPr>
            <w:rFonts w:eastAsiaTheme="minorEastAsia" w:cstheme="minorBidi"/>
            <w:noProof/>
            <w:color w:val="auto"/>
            <w:szCs w:val="22"/>
          </w:rPr>
          <w:tab/>
        </w:r>
        <w:r w:rsidR="00754CE7" w:rsidRPr="00CA5F36">
          <w:rPr>
            <w:rStyle w:val="Lienhypertexte"/>
            <w:noProof/>
          </w:rPr>
          <w:t>Contrôle de la(des) Puissance(s) Souscrite(s)</w:t>
        </w:r>
        <w:r w:rsidR="00754CE7">
          <w:rPr>
            <w:noProof/>
            <w:webHidden/>
          </w:rPr>
          <w:tab/>
        </w:r>
        <w:r w:rsidR="00754CE7">
          <w:rPr>
            <w:noProof/>
            <w:webHidden/>
          </w:rPr>
          <w:fldChar w:fldCharType="begin"/>
        </w:r>
        <w:r w:rsidR="00754CE7">
          <w:rPr>
            <w:noProof/>
            <w:webHidden/>
          </w:rPr>
          <w:instrText xml:space="preserve"> PAGEREF _Toc21422442 \h </w:instrText>
        </w:r>
        <w:r w:rsidR="00754CE7">
          <w:rPr>
            <w:noProof/>
            <w:webHidden/>
          </w:rPr>
        </w:r>
        <w:r w:rsidR="00754CE7">
          <w:rPr>
            <w:noProof/>
            <w:webHidden/>
          </w:rPr>
          <w:fldChar w:fldCharType="separate"/>
        </w:r>
        <w:r w:rsidR="00754CE7">
          <w:rPr>
            <w:noProof/>
            <w:webHidden/>
          </w:rPr>
          <w:t>24</w:t>
        </w:r>
        <w:r w:rsidR="00754CE7">
          <w:rPr>
            <w:noProof/>
            <w:webHidden/>
          </w:rPr>
          <w:fldChar w:fldCharType="end"/>
        </w:r>
      </w:hyperlink>
    </w:p>
    <w:p w14:paraId="0F3ED04C" w14:textId="77777777" w:rsidR="00754CE7" w:rsidRDefault="003306EB">
      <w:pPr>
        <w:pStyle w:val="TM2"/>
        <w:rPr>
          <w:rFonts w:eastAsiaTheme="minorEastAsia" w:cstheme="minorBidi"/>
          <w:noProof/>
          <w:color w:val="auto"/>
          <w:szCs w:val="22"/>
        </w:rPr>
      </w:pPr>
      <w:hyperlink w:anchor="_Toc21422443" w:history="1">
        <w:r w:rsidR="00754CE7" w:rsidRPr="00CA5F36">
          <w:rPr>
            <w:rStyle w:val="Lienhypertexte"/>
            <w:noProof/>
          </w:rPr>
          <w:t>4.3.</w:t>
        </w:r>
        <w:r w:rsidR="00754CE7">
          <w:rPr>
            <w:rFonts w:eastAsiaTheme="minorEastAsia" w:cstheme="minorBidi"/>
            <w:noProof/>
            <w:color w:val="auto"/>
            <w:szCs w:val="22"/>
          </w:rPr>
          <w:tab/>
        </w:r>
        <w:r w:rsidR="00754CE7" w:rsidRPr="00CA5F36">
          <w:rPr>
            <w:rStyle w:val="Lienhypertexte"/>
            <w:noProof/>
          </w:rPr>
          <w:t>Dépassements de Puissance(s) Souscrite(s)</w:t>
        </w:r>
        <w:r w:rsidR="00754CE7">
          <w:rPr>
            <w:noProof/>
            <w:webHidden/>
          </w:rPr>
          <w:tab/>
        </w:r>
        <w:r w:rsidR="00754CE7">
          <w:rPr>
            <w:noProof/>
            <w:webHidden/>
          </w:rPr>
          <w:fldChar w:fldCharType="begin"/>
        </w:r>
        <w:r w:rsidR="00754CE7">
          <w:rPr>
            <w:noProof/>
            <w:webHidden/>
          </w:rPr>
          <w:instrText xml:space="preserve"> PAGEREF _Toc21422443 \h </w:instrText>
        </w:r>
        <w:r w:rsidR="00754CE7">
          <w:rPr>
            <w:noProof/>
            <w:webHidden/>
          </w:rPr>
        </w:r>
        <w:r w:rsidR="00754CE7">
          <w:rPr>
            <w:noProof/>
            <w:webHidden/>
          </w:rPr>
          <w:fldChar w:fldCharType="separate"/>
        </w:r>
        <w:r w:rsidR="00754CE7">
          <w:rPr>
            <w:noProof/>
            <w:webHidden/>
          </w:rPr>
          <w:t>24</w:t>
        </w:r>
        <w:r w:rsidR="00754CE7">
          <w:rPr>
            <w:noProof/>
            <w:webHidden/>
          </w:rPr>
          <w:fldChar w:fldCharType="end"/>
        </w:r>
      </w:hyperlink>
    </w:p>
    <w:p w14:paraId="77C9AAC1" w14:textId="77777777" w:rsidR="00754CE7" w:rsidRDefault="003306EB">
      <w:pPr>
        <w:pStyle w:val="TM2"/>
        <w:rPr>
          <w:rFonts w:eastAsiaTheme="minorEastAsia" w:cstheme="minorBidi"/>
          <w:noProof/>
          <w:color w:val="auto"/>
          <w:szCs w:val="22"/>
        </w:rPr>
      </w:pPr>
      <w:hyperlink w:anchor="_Toc21422444" w:history="1">
        <w:r w:rsidR="00754CE7" w:rsidRPr="00CA5F36">
          <w:rPr>
            <w:rStyle w:val="Lienhypertexte"/>
            <w:noProof/>
          </w:rPr>
          <w:t>4.4.</w:t>
        </w:r>
        <w:r w:rsidR="00754CE7">
          <w:rPr>
            <w:rFonts w:eastAsiaTheme="minorEastAsia" w:cstheme="minorBidi"/>
            <w:noProof/>
            <w:color w:val="auto"/>
            <w:szCs w:val="22"/>
          </w:rPr>
          <w:tab/>
        </w:r>
        <w:r w:rsidR="00754CE7" w:rsidRPr="00CA5F36">
          <w:rPr>
            <w:rStyle w:val="Lienhypertexte"/>
            <w:noProof/>
          </w:rPr>
          <w:t>Modification de la (des) Puissance(s) Souscrite(s)</w:t>
        </w:r>
        <w:r w:rsidR="00754CE7">
          <w:rPr>
            <w:noProof/>
            <w:webHidden/>
          </w:rPr>
          <w:tab/>
        </w:r>
        <w:r w:rsidR="00754CE7">
          <w:rPr>
            <w:noProof/>
            <w:webHidden/>
          </w:rPr>
          <w:fldChar w:fldCharType="begin"/>
        </w:r>
        <w:r w:rsidR="00754CE7">
          <w:rPr>
            <w:noProof/>
            <w:webHidden/>
          </w:rPr>
          <w:instrText xml:space="preserve"> PAGEREF _Toc21422444 \h </w:instrText>
        </w:r>
        <w:r w:rsidR="00754CE7">
          <w:rPr>
            <w:noProof/>
            <w:webHidden/>
          </w:rPr>
        </w:r>
        <w:r w:rsidR="00754CE7">
          <w:rPr>
            <w:noProof/>
            <w:webHidden/>
          </w:rPr>
          <w:fldChar w:fldCharType="separate"/>
        </w:r>
        <w:r w:rsidR="00754CE7">
          <w:rPr>
            <w:noProof/>
            <w:webHidden/>
          </w:rPr>
          <w:t>24</w:t>
        </w:r>
        <w:r w:rsidR="00754CE7">
          <w:rPr>
            <w:noProof/>
            <w:webHidden/>
          </w:rPr>
          <w:fldChar w:fldCharType="end"/>
        </w:r>
      </w:hyperlink>
    </w:p>
    <w:p w14:paraId="0EA8A255" w14:textId="77777777" w:rsidR="00754CE7" w:rsidRDefault="003306EB">
      <w:pPr>
        <w:pStyle w:val="TM3"/>
        <w:tabs>
          <w:tab w:val="left" w:pos="1701"/>
        </w:tabs>
        <w:rPr>
          <w:rFonts w:eastAsiaTheme="minorEastAsia" w:cstheme="minorBidi"/>
          <w:b w:val="0"/>
          <w:noProof/>
          <w:color w:val="auto"/>
          <w:sz w:val="22"/>
          <w:szCs w:val="22"/>
        </w:rPr>
      </w:pPr>
      <w:hyperlink w:anchor="_Toc21422445" w:history="1">
        <w:r w:rsidR="00754CE7" w:rsidRPr="00CA5F36">
          <w:rPr>
            <w:rStyle w:val="Lienhypertexte"/>
            <w:noProof/>
          </w:rPr>
          <w:t>4.4.1.</w:t>
        </w:r>
        <w:r w:rsidR="00754CE7">
          <w:rPr>
            <w:rFonts w:eastAsiaTheme="minorEastAsia" w:cstheme="minorBidi"/>
            <w:b w:val="0"/>
            <w:noProof/>
            <w:color w:val="auto"/>
            <w:sz w:val="22"/>
            <w:szCs w:val="22"/>
          </w:rPr>
          <w:tab/>
        </w:r>
        <w:r w:rsidR="00754CE7" w:rsidRPr="00CA5F36">
          <w:rPr>
            <w:rStyle w:val="Lienhypertexte"/>
            <w:noProof/>
          </w:rPr>
          <w:t>Ouverture d’une période d’observation en cours d’exécution du Contrat Unique</w:t>
        </w:r>
        <w:r w:rsidR="00754CE7">
          <w:rPr>
            <w:noProof/>
            <w:webHidden/>
          </w:rPr>
          <w:tab/>
        </w:r>
        <w:r w:rsidR="00754CE7">
          <w:rPr>
            <w:noProof/>
            <w:webHidden/>
          </w:rPr>
          <w:fldChar w:fldCharType="begin"/>
        </w:r>
        <w:r w:rsidR="00754CE7">
          <w:rPr>
            <w:noProof/>
            <w:webHidden/>
          </w:rPr>
          <w:instrText xml:space="preserve"> PAGEREF _Toc21422445 \h </w:instrText>
        </w:r>
        <w:r w:rsidR="00754CE7">
          <w:rPr>
            <w:noProof/>
            <w:webHidden/>
          </w:rPr>
        </w:r>
        <w:r w:rsidR="00754CE7">
          <w:rPr>
            <w:noProof/>
            <w:webHidden/>
          </w:rPr>
          <w:fldChar w:fldCharType="separate"/>
        </w:r>
        <w:r w:rsidR="00754CE7">
          <w:rPr>
            <w:noProof/>
            <w:webHidden/>
          </w:rPr>
          <w:t>24</w:t>
        </w:r>
        <w:r w:rsidR="00754CE7">
          <w:rPr>
            <w:noProof/>
            <w:webHidden/>
          </w:rPr>
          <w:fldChar w:fldCharType="end"/>
        </w:r>
      </w:hyperlink>
    </w:p>
    <w:p w14:paraId="76683FDD" w14:textId="77777777" w:rsidR="00754CE7" w:rsidRDefault="003306EB">
      <w:pPr>
        <w:pStyle w:val="TM3"/>
        <w:tabs>
          <w:tab w:val="left" w:pos="1701"/>
        </w:tabs>
        <w:rPr>
          <w:rFonts w:eastAsiaTheme="minorEastAsia" w:cstheme="minorBidi"/>
          <w:b w:val="0"/>
          <w:noProof/>
          <w:color w:val="auto"/>
          <w:sz w:val="22"/>
          <w:szCs w:val="22"/>
        </w:rPr>
      </w:pPr>
      <w:hyperlink w:anchor="_Toc21422446" w:history="1">
        <w:r w:rsidR="00754CE7" w:rsidRPr="00CA5F36">
          <w:rPr>
            <w:rStyle w:val="Lienhypertexte"/>
            <w:noProof/>
          </w:rPr>
          <w:t>4.4.2.</w:t>
        </w:r>
        <w:r w:rsidR="00754CE7">
          <w:rPr>
            <w:rFonts w:eastAsiaTheme="minorEastAsia" w:cstheme="minorBidi"/>
            <w:b w:val="0"/>
            <w:noProof/>
            <w:color w:val="auto"/>
            <w:sz w:val="22"/>
            <w:szCs w:val="22"/>
          </w:rPr>
          <w:tab/>
        </w:r>
        <w:r w:rsidR="00754CE7" w:rsidRPr="00CA5F36">
          <w:rPr>
            <w:rStyle w:val="Lienhypertexte"/>
            <w:noProof/>
          </w:rPr>
          <w:t>Augmentation de(s) Puissance(s) Souscrite(s)</w:t>
        </w:r>
        <w:r w:rsidR="00754CE7">
          <w:rPr>
            <w:noProof/>
            <w:webHidden/>
          </w:rPr>
          <w:tab/>
        </w:r>
        <w:r w:rsidR="00754CE7">
          <w:rPr>
            <w:noProof/>
            <w:webHidden/>
          </w:rPr>
          <w:fldChar w:fldCharType="begin"/>
        </w:r>
        <w:r w:rsidR="00754CE7">
          <w:rPr>
            <w:noProof/>
            <w:webHidden/>
          </w:rPr>
          <w:instrText xml:space="preserve"> PAGEREF _Toc21422446 \h </w:instrText>
        </w:r>
        <w:r w:rsidR="00754CE7">
          <w:rPr>
            <w:noProof/>
            <w:webHidden/>
          </w:rPr>
        </w:r>
        <w:r w:rsidR="00754CE7">
          <w:rPr>
            <w:noProof/>
            <w:webHidden/>
          </w:rPr>
          <w:fldChar w:fldCharType="separate"/>
        </w:r>
        <w:r w:rsidR="00754CE7">
          <w:rPr>
            <w:noProof/>
            <w:webHidden/>
          </w:rPr>
          <w:t>25</w:t>
        </w:r>
        <w:r w:rsidR="00754CE7">
          <w:rPr>
            <w:noProof/>
            <w:webHidden/>
          </w:rPr>
          <w:fldChar w:fldCharType="end"/>
        </w:r>
      </w:hyperlink>
    </w:p>
    <w:p w14:paraId="1866E8D7" w14:textId="14933F1A" w:rsidR="00754CE7" w:rsidRDefault="003306EB">
      <w:pPr>
        <w:pStyle w:val="TM3"/>
        <w:tabs>
          <w:tab w:val="left" w:pos="1701"/>
        </w:tabs>
        <w:rPr>
          <w:rFonts w:eastAsiaTheme="minorEastAsia" w:cstheme="minorBidi"/>
          <w:b w:val="0"/>
          <w:noProof/>
          <w:color w:val="auto"/>
          <w:sz w:val="22"/>
          <w:szCs w:val="22"/>
        </w:rPr>
      </w:pPr>
      <w:hyperlink w:anchor="_Toc21422447" w:history="1">
        <w:r w:rsidR="00754CE7" w:rsidRPr="00CA5F36">
          <w:rPr>
            <w:rStyle w:val="Lienhypertexte"/>
            <w:noProof/>
          </w:rPr>
          <w:t>4.4.3.</w:t>
        </w:r>
        <w:r w:rsidR="00754CE7">
          <w:rPr>
            <w:rFonts w:eastAsiaTheme="minorEastAsia" w:cstheme="minorBidi"/>
            <w:b w:val="0"/>
            <w:noProof/>
            <w:color w:val="auto"/>
            <w:sz w:val="22"/>
            <w:szCs w:val="22"/>
          </w:rPr>
          <w:tab/>
        </w:r>
        <w:r w:rsidR="00754CE7" w:rsidRPr="00CA5F36">
          <w:rPr>
            <w:rStyle w:val="Lienhypertexte"/>
            <w:noProof/>
          </w:rPr>
          <w:t>Diminution de(s) Puissance(s) Souscrite(s)</w:t>
        </w:r>
        <w:r w:rsidR="00754CE7">
          <w:rPr>
            <w:noProof/>
            <w:webHidden/>
          </w:rPr>
          <w:tab/>
        </w:r>
        <w:r w:rsidR="00754CE7">
          <w:rPr>
            <w:noProof/>
            <w:webHidden/>
          </w:rPr>
          <w:fldChar w:fldCharType="begin"/>
        </w:r>
        <w:r w:rsidR="00754CE7">
          <w:rPr>
            <w:noProof/>
            <w:webHidden/>
          </w:rPr>
          <w:instrText xml:space="preserve"> PAGEREF _Toc21422447 \h </w:instrText>
        </w:r>
        <w:r w:rsidR="00754CE7">
          <w:rPr>
            <w:noProof/>
            <w:webHidden/>
          </w:rPr>
        </w:r>
        <w:r w:rsidR="00754CE7">
          <w:rPr>
            <w:noProof/>
            <w:webHidden/>
          </w:rPr>
          <w:fldChar w:fldCharType="separate"/>
        </w:r>
        <w:r w:rsidR="00754CE7">
          <w:rPr>
            <w:noProof/>
            <w:webHidden/>
          </w:rPr>
          <w:t>26</w:t>
        </w:r>
        <w:r w:rsidR="00754CE7">
          <w:rPr>
            <w:noProof/>
            <w:webHidden/>
          </w:rPr>
          <w:fldChar w:fldCharType="end"/>
        </w:r>
      </w:hyperlink>
    </w:p>
    <w:p w14:paraId="3EFF34C8" w14:textId="794CD0A1" w:rsidR="00754CE7" w:rsidRDefault="003306EB">
      <w:pPr>
        <w:pStyle w:val="TM3"/>
        <w:tabs>
          <w:tab w:val="left" w:pos="1701"/>
        </w:tabs>
        <w:rPr>
          <w:rFonts w:eastAsiaTheme="minorEastAsia" w:cstheme="minorBidi"/>
          <w:b w:val="0"/>
          <w:noProof/>
          <w:color w:val="auto"/>
          <w:sz w:val="22"/>
          <w:szCs w:val="22"/>
        </w:rPr>
      </w:pPr>
      <w:hyperlink w:anchor="_Toc21422448" w:history="1">
        <w:r w:rsidR="00754CE7" w:rsidRPr="00CA5F36">
          <w:rPr>
            <w:rStyle w:val="Lienhypertexte"/>
            <w:noProof/>
          </w:rPr>
          <w:t>4.4.4.</w:t>
        </w:r>
        <w:r w:rsidR="00754CE7">
          <w:rPr>
            <w:rFonts w:eastAsiaTheme="minorEastAsia" w:cstheme="minorBidi"/>
            <w:b w:val="0"/>
            <w:noProof/>
            <w:color w:val="auto"/>
            <w:sz w:val="22"/>
            <w:szCs w:val="22"/>
          </w:rPr>
          <w:tab/>
        </w:r>
        <w:r w:rsidR="00754CE7" w:rsidRPr="00CA5F36">
          <w:rPr>
            <w:rStyle w:val="Lienhypertexte"/>
            <w:noProof/>
          </w:rPr>
          <w:t>Diminution et augmentation simultanées de Puissances Souscrites</w:t>
        </w:r>
        <w:r w:rsidR="00754CE7">
          <w:rPr>
            <w:noProof/>
            <w:webHidden/>
          </w:rPr>
          <w:tab/>
        </w:r>
        <w:r w:rsidR="00754CE7">
          <w:rPr>
            <w:noProof/>
            <w:webHidden/>
          </w:rPr>
          <w:fldChar w:fldCharType="begin"/>
        </w:r>
        <w:r w:rsidR="00754CE7">
          <w:rPr>
            <w:noProof/>
            <w:webHidden/>
          </w:rPr>
          <w:instrText xml:space="preserve"> PAGEREF _Toc21422448 \h </w:instrText>
        </w:r>
        <w:r w:rsidR="00754CE7">
          <w:rPr>
            <w:noProof/>
            <w:webHidden/>
          </w:rPr>
        </w:r>
        <w:r w:rsidR="00754CE7">
          <w:rPr>
            <w:noProof/>
            <w:webHidden/>
          </w:rPr>
          <w:fldChar w:fldCharType="separate"/>
        </w:r>
        <w:r w:rsidR="00754CE7">
          <w:rPr>
            <w:noProof/>
            <w:webHidden/>
          </w:rPr>
          <w:t>26</w:t>
        </w:r>
        <w:r w:rsidR="00754CE7">
          <w:rPr>
            <w:noProof/>
            <w:webHidden/>
          </w:rPr>
          <w:fldChar w:fldCharType="end"/>
        </w:r>
      </w:hyperlink>
    </w:p>
    <w:p w14:paraId="5F98AABB" w14:textId="77777777" w:rsidR="00754CE7" w:rsidRDefault="003306EB">
      <w:pPr>
        <w:pStyle w:val="TM2"/>
        <w:rPr>
          <w:rFonts w:eastAsiaTheme="minorEastAsia" w:cstheme="minorBidi"/>
          <w:noProof/>
          <w:color w:val="auto"/>
          <w:szCs w:val="22"/>
        </w:rPr>
      </w:pPr>
      <w:hyperlink w:anchor="_Toc21422449" w:history="1">
        <w:r w:rsidR="00754CE7" w:rsidRPr="00CA5F36">
          <w:rPr>
            <w:rStyle w:val="Lienhypertexte"/>
            <w:noProof/>
          </w:rPr>
          <w:t>4.5.</w:t>
        </w:r>
        <w:r w:rsidR="00754CE7">
          <w:rPr>
            <w:rFonts w:eastAsiaTheme="minorEastAsia" w:cstheme="minorBidi"/>
            <w:noProof/>
            <w:color w:val="auto"/>
            <w:szCs w:val="22"/>
          </w:rPr>
          <w:tab/>
        </w:r>
        <w:r w:rsidR="00754CE7" w:rsidRPr="00CA5F36">
          <w:rPr>
            <w:rStyle w:val="Lienhypertexte"/>
            <w:noProof/>
          </w:rPr>
          <w:t>Modalités de modification de la(des) Puissance(s) Souscrite(s)</w:t>
        </w:r>
        <w:r w:rsidR="00754CE7">
          <w:rPr>
            <w:noProof/>
            <w:webHidden/>
          </w:rPr>
          <w:tab/>
        </w:r>
        <w:r w:rsidR="00754CE7">
          <w:rPr>
            <w:noProof/>
            <w:webHidden/>
          </w:rPr>
          <w:fldChar w:fldCharType="begin"/>
        </w:r>
        <w:r w:rsidR="00754CE7">
          <w:rPr>
            <w:noProof/>
            <w:webHidden/>
          </w:rPr>
          <w:instrText xml:space="preserve"> PAGEREF _Toc21422449 \h </w:instrText>
        </w:r>
        <w:r w:rsidR="00754CE7">
          <w:rPr>
            <w:noProof/>
            <w:webHidden/>
          </w:rPr>
        </w:r>
        <w:r w:rsidR="00754CE7">
          <w:rPr>
            <w:noProof/>
            <w:webHidden/>
          </w:rPr>
          <w:fldChar w:fldCharType="separate"/>
        </w:r>
        <w:r w:rsidR="00754CE7">
          <w:rPr>
            <w:noProof/>
            <w:webHidden/>
          </w:rPr>
          <w:t>27</w:t>
        </w:r>
        <w:r w:rsidR="00754CE7">
          <w:rPr>
            <w:noProof/>
            <w:webHidden/>
          </w:rPr>
          <w:fldChar w:fldCharType="end"/>
        </w:r>
      </w:hyperlink>
    </w:p>
    <w:p w14:paraId="7EDAAC1C" w14:textId="77777777" w:rsidR="00754CE7" w:rsidRDefault="003306EB">
      <w:pPr>
        <w:pStyle w:val="TM1"/>
        <w:rPr>
          <w:rFonts w:eastAsiaTheme="minorEastAsia" w:cstheme="minorBidi"/>
          <w:b w:val="0"/>
          <w:noProof/>
          <w:color w:val="auto"/>
          <w:sz w:val="22"/>
          <w:szCs w:val="22"/>
        </w:rPr>
      </w:pPr>
      <w:hyperlink w:anchor="_Toc21422450" w:history="1">
        <w:r w:rsidR="00754CE7" w:rsidRPr="00CA5F36">
          <w:rPr>
            <w:rStyle w:val="Lienhypertexte"/>
            <w:bCs/>
            <w:noProof/>
          </w:rPr>
          <w:t>5.</w:t>
        </w:r>
        <w:r w:rsidR="00754CE7">
          <w:rPr>
            <w:rFonts w:eastAsiaTheme="minorEastAsia" w:cstheme="minorBidi"/>
            <w:b w:val="0"/>
            <w:noProof/>
            <w:color w:val="auto"/>
            <w:sz w:val="22"/>
            <w:szCs w:val="22"/>
          </w:rPr>
          <w:tab/>
        </w:r>
        <w:r w:rsidR="00754CE7" w:rsidRPr="00CA5F36">
          <w:rPr>
            <w:rStyle w:val="Lienhypertexte"/>
            <w:noProof/>
          </w:rPr>
          <w:t>Continuité et qualité</w:t>
        </w:r>
        <w:r w:rsidR="00754CE7">
          <w:rPr>
            <w:noProof/>
            <w:webHidden/>
          </w:rPr>
          <w:tab/>
        </w:r>
        <w:r w:rsidR="00754CE7">
          <w:rPr>
            <w:noProof/>
            <w:webHidden/>
          </w:rPr>
          <w:fldChar w:fldCharType="begin"/>
        </w:r>
        <w:r w:rsidR="00754CE7">
          <w:rPr>
            <w:noProof/>
            <w:webHidden/>
          </w:rPr>
          <w:instrText xml:space="preserve"> PAGEREF _Toc21422450 \h </w:instrText>
        </w:r>
        <w:r w:rsidR="00754CE7">
          <w:rPr>
            <w:noProof/>
            <w:webHidden/>
          </w:rPr>
        </w:r>
        <w:r w:rsidR="00754CE7">
          <w:rPr>
            <w:noProof/>
            <w:webHidden/>
          </w:rPr>
          <w:fldChar w:fldCharType="separate"/>
        </w:r>
        <w:r w:rsidR="00754CE7">
          <w:rPr>
            <w:noProof/>
            <w:webHidden/>
          </w:rPr>
          <w:t>27</w:t>
        </w:r>
        <w:r w:rsidR="00754CE7">
          <w:rPr>
            <w:noProof/>
            <w:webHidden/>
          </w:rPr>
          <w:fldChar w:fldCharType="end"/>
        </w:r>
      </w:hyperlink>
    </w:p>
    <w:p w14:paraId="2609A8C2" w14:textId="77777777" w:rsidR="00754CE7" w:rsidRDefault="003306EB">
      <w:pPr>
        <w:pStyle w:val="TM2"/>
        <w:rPr>
          <w:rFonts w:eastAsiaTheme="minorEastAsia" w:cstheme="minorBidi"/>
          <w:noProof/>
          <w:color w:val="auto"/>
          <w:szCs w:val="22"/>
        </w:rPr>
      </w:pPr>
      <w:hyperlink w:anchor="_Toc21422451" w:history="1">
        <w:r w:rsidR="00754CE7" w:rsidRPr="00CA5F36">
          <w:rPr>
            <w:rStyle w:val="Lienhypertexte"/>
            <w:noProof/>
          </w:rPr>
          <w:t>5.1.</w:t>
        </w:r>
        <w:r w:rsidR="00754CE7">
          <w:rPr>
            <w:rFonts w:eastAsiaTheme="minorEastAsia" w:cstheme="minorBidi"/>
            <w:noProof/>
            <w:color w:val="auto"/>
            <w:szCs w:val="22"/>
          </w:rPr>
          <w:tab/>
        </w:r>
        <w:r w:rsidR="00754CE7" w:rsidRPr="00CA5F36">
          <w:rPr>
            <w:rStyle w:val="Lienhypertexte"/>
            <w:noProof/>
          </w:rPr>
          <w:t>Engagements du GRD</w:t>
        </w:r>
        <w:r w:rsidR="00754CE7">
          <w:rPr>
            <w:noProof/>
            <w:webHidden/>
          </w:rPr>
          <w:tab/>
        </w:r>
        <w:r w:rsidR="00754CE7">
          <w:rPr>
            <w:noProof/>
            <w:webHidden/>
          </w:rPr>
          <w:fldChar w:fldCharType="begin"/>
        </w:r>
        <w:r w:rsidR="00754CE7">
          <w:rPr>
            <w:noProof/>
            <w:webHidden/>
          </w:rPr>
          <w:instrText xml:space="preserve"> PAGEREF _Toc21422451 \h </w:instrText>
        </w:r>
        <w:r w:rsidR="00754CE7">
          <w:rPr>
            <w:noProof/>
            <w:webHidden/>
          </w:rPr>
        </w:r>
        <w:r w:rsidR="00754CE7">
          <w:rPr>
            <w:noProof/>
            <w:webHidden/>
          </w:rPr>
          <w:fldChar w:fldCharType="separate"/>
        </w:r>
        <w:r w:rsidR="00754CE7">
          <w:rPr>
            <w:noProof/>
            <w:webHidden/>
          </w:rPr>
          <w:t>27</w:t>
        </w:r>
        <w:r w:rsidR="00754CE7">
          <w:rPr>
            <w:noProof/>
            <w:webHidden/>
          </w:rPr>
          <w:fldChar w:fldCharType="end"/>
        </w:r>
      </w:hyperlink>
    </w:p>
    <w:p w14:paraId="5B9BD43F" w14:textId="77777777" w:rsidR="00754CE7" w:rsidRDefault="003306EB">
      <w:pPr>
        <w:pStyle w:val="TM3"/>
        <w:tabs>
          <w:tab w:val="left" w:pos="1701"/>
        </w:tabs>
        <w:rPr>
          <w:rFonts w:eastAsiaTheme="minorEastAsia" w:cstheme="minorBidi"/>
          <w:b w:val="0"/>
          <w:noProof/>
          <w:color w:val="auto"/>
          <w:sz w:val="22"/>
          <w:szCs w:val="22"/>
        </w:rPr>
      </w:pPr>
      <w:hyperlink w:anchor="_Toc21422452" w:history="1">
        <w:r w:rsidR="00754CE7" w:rsidRPr="00CA5F36">
          <w:rPr>
            <w:rStyle w:val="Lienhypertexte"/>
            <w:noProof/>
          </w:rPr>
          <w:t>5.1.1.</w:t>
        </w:r>
        <w:r w:rsidR="00754CE7">
          <w:rPr>
            <w:rFonts w:eastAsiaTheme="minorEastAsia" w:cstheme="minorBidi"/>
            <w:b w:val="0"/>
            <w:noProof/>
            <w:color w:val="auto"/>
            <w:sz w:val="22"/>
            <w:szCs w:val="22"/>
          </w:rPr>
          <w:tab/>
        </w:r>
        <w:r w:rsidR="00754CE7" w:rsidRPr="00CA5F36">
          <w:rPr>
            <w:rStyle w:val="Lienhypertexte"/>
            <w:noProof/>
          </w:rPr>
          <w:t>Engagements du GRD sur la continuité dans le cadre des travaux sur le Réseau Public de Distribution</w:t>
        </w:r>
        <w:r w:rsidR="00754CE7">
          <w:rPr>
            <w:noProof/>
            <w:webHidden/>
          </w:rPr>
          <w:tab/>
        </w:r>
        <w:r w:rsidR="00754CE7">
          <w:rPr>
            <w:noProof/>
            <w:webHidden/>
          </w:rPr>
          <w:fldChar w:fldCharType="begin"/>
        </w:r>
        <w:r w:rsidR="00754CE7">
          <w:rPr>
            <w:noProof/>
            <w:webHidden/>
          </w:rPr>
          <w:instrText xml:space="preserve"> PAGEREF _Toc21422452 \h </w:instrText>
        </w:r>
        <w:r w:rsidR="00754CE7">
          <w:rPr>
            <w:noProof/>
            <w:webHidden/>
          </w:rPr>
        </w:r>
        <w:r w:rsidR="00754CE7">
          <w:rPr>
            <w:noProof/>
            <w:webHidden/>
          </w:rPr>
          <w:fldChar w:fldCharType="separate"/>
        </w:r>
        <w:r w:rsidR="00754CE7">
          <w:rPr>
            <w:noProof/>
            <w:webHidden/>
          </w:rPr>
          <w:t>27</w:t>
        </w:r>
        <w:r w:rsidR="00754CE7">
          <w:rPr>
            <w:noProof/>
            <w:webHidden/>
          </w:rPr>
          <w:fldChar w:fldCharType="end"/>
        </w:r>
      </w:hyperlink>
    </w:p>
    <w:p w14:paraId="042A5074" w14:textId="77777777" w:rsidR="00754CE7" w:rsidRDefault="003306EB">
      <w:pPr>
        <w:pStyle w:val="TM3"/>
        <w:tabs>
          <w:tab w:val="left" w:pos="1701"/>
        </w:tabs>
        <w:rPr>
          <w:rFonts w:eastAsiaTheme="minorEastAsia" w:cstheme="minorBidi"/>
          <w:b w:val="0"/>
          <w:noProof/>
          <w:color w:val="auto"/>
          <w:sz w:val="22"/>
          <w:szCs w:val="22"/>
        </w:rPr>
      </w:pPr>
      <w:hyperlink w:anchor="_Toc21422453" w:history="1">
        <w:r w:rsidR="00754CE7" w:rsidRPr="00CA5F36">
          <w:rPr>
            <w:rStyle w:val="Lienhypertexte"/>
            <w:noProof/>
          </w:rPr>
          <w:t>5.1.2.</w:t>
        </w:r>
        <w:r w:rsidR="00754CE7">
          <w:rPr>
            <w:rFonts w:eastAsiaTheme="minorEastAsia" w:cstheme="minorBidi"/>
            <w:b w:val="0"/>
            <w:noProof/>
            <w:color w:val="auto"/>
            <w:sz w:val="22"/>
            <w:szCs w:val="22"/>
          </w:rPr>
          <w:tab/>
        </w:r>
        <w:r w:rsidR="00754CE7" w:rsidRPr="00CA5F36">
          <w:rPr>
            <w:rStyle w:val="Lienhypertexte"/>
            <w:noProof/>
          </w:rPr>
          <w:t>Engagements du GRD sur la  continuité hors travaux</w:t>
        </w:r>
        <w:r w:rsidR="00754CE7">
          <w:rPr>
            <w:noProof/>
            <w:webHidden/>
          </w:rPr>
          <w:tab/>
        </w:r>
        <w:r w:rsidR="00754CE7">
          <w:rPr>
            <w:noProof/>
            <w:webHidden/>
          </w:rPr>
          <w:fldChar w:fldCharType="begin"/>
        </w:r>
        <w:r w:rsidR="00754CE7">
          <w:rPr>
            <w:noProof/>
            <w:webHidden/>
          </w:rPr>
          <w:instrText xml:space="preserve"> PAGEREF _Toc21422453 \h </w:instrText>
        </w:r>
        <w:r w:rsidR="00754CE7">
          <w:rPr>
            <w:noProof/>
            <w:webHidden/>
          </w:rPr>
        </w:r>
        <w:r w:rsidR="00754CE7">
          <w:rPr>
            <w:noProof/>
            <w:webHidden/>
          </w:rPr>
          <w:fldChar w:fldCharType="separate"/>
        </w:r>
        <w:r w:rsidR="00754CE7">
          <w:rPr>
            <w:noProof/>
            <w:webHidden/>
          </w:rPr>
          <w:t>28</w:t>
        </w:r>
        <w:r w:rsidR="00754CE7">
          <w:rPr>
            <w:noProof/>
            <w:webHidden/>
          </w:rPr>
          <w:fldChar w:fldCharType="end"/>
        </w:r>
      </w:hyperlink>
    </w:p>
    <w:p w14:paraId="665D2444" w14:textId="77777777" w:rsidR="00754CE7" w:rsidRDefault="003306EB">
      <w:pPr>
        <w:pStyle w:val="TM3"/>
        <w:tabs>
          <w:tab w:val="left" w:pos="1701"/>
        </w:tabs>
        <w:rPr>
          <w:rFonts w:eastAsiaTheme="minorEastAsia" w:cstheme="minorBidi"/>
          <w:b w:val="0"/>
          <w:noProof/>
          <w:color w:val="auto"/>
          <w:sz w:val="22"/>
          <w:szCs w:val="22"/>
        </w:rPr>
      </w:pPr>
      <w:hyperlink w:anchor="_Toc21422454" w:history="1">
        <w:r w:rsidR="00754CE7" w:rsidRPr="00CA5F36">
          <w:rPr>
            <w:rStyle w:val="Lienhypertexte"/>
            <w:noProof/>
          </w:rPr>
          <w:t>5.1.3.</w:t>
        </w:r>
        <w:r w:rsidR="00754CE7">
          <w:rPr>
            <w:rFonts w:eastAsiaTheme="minorEastAsia" w:cstheme="minorBidi"/>
            <w:b w:val="0"/>
            <w:noProof/>
            <w:color w:val="auto"/>
            <w:sz w:val="22"/>
            <w:szCs w:val="22"/>
          </w:rPr>
          <w:tab/>
        </w:r>
        <w:r w:rsidR="00754CE7" w:rsidRPr="00CA5F36">
          <w:rPr>
            <w:rStyle w:val="Lienhypertexte"/>
            <w:noProof/>
          </w:rPr>
          <w:t>Engagements du GRD sur la qualité de l’onde</w:t>
        </w:r>
        <w:r w:rsidR="00754CE7">
          <w:rPr>
            <w:noProof/>
            <w:webHidden/>
          </w:rPr>
          <w:tab/>
        </w:r>
        <w:r w:rsidR="00754CE7">
          <w:rPr>
            <w:noProof/>
            <w:webHidden/>
          </w:rPr>
          <w:fldChar w:fldCharType="begin"/>
        </w:r>
        <w:r w:rsidR="00754CE7">
          <w:rPr>
            <w:noProof/>
            <w:webHidden/>
          </w:rPr>
          <w:instrText xml:space="preserve"> PAGEREF _Toc21422454 \h </w:instrText>
        </w:r>
        <w:r w:rsidR="00754CE7">
          <w:rPr>
            <w:noProof/>
            <w:webHidden/>
          </w:rPr>
        </w:r>
        <w:r w:rsidR="00754CE7">
          <w:rPr>
            <w:noProof/>
            <w:webHidden/>
          </w:rPr>
          <w:fldChar w:fldCharType="separate"/>
        </w:r>
        <w:r w:rsidR="00754CE7">
          <w:rPr>
            <w:noProof/>
            <w:webHidden/>
          </w:rPr>
          <w:t>31</w:t>
        </w:r>
        <w:r w:rsidR="00754CE7">
          <w:rPr>
            <w:noProof/>
            <w:webHidden/>
          </w:rPr>
          <w:fldChar w:fldCharType="end"/>
        </w:r>
      </w:hyperlink>
    </w:p>
    <w:p w14:paraId="1E453267" w14:textId="77777777" w:rsidR="00754CE7" w:rsidRDefault="003306EB">
      <w:pPr>
        <w:pStyle w:val="TM3"/>
        <w:tabs>
          <w:tab w:val="left" w:pos="1701"/>
        </w:tabs>
        <w:rPr>
          <w:rFonts w:eastAsiaTheme="minorEastAsia" w:cstheme="minorBidi"/>
          <w:b w:val="0"/>
          <w:noProof/>
          <w:color w:val="auto"/>
          <w:sz w:val="22"/>
          <w:szCs w:val="22"/>
        </w:rPr>
      </w:pPr>
      <w:hyperlink w:anchor="_Toc21422455" w:history="1">
        <w:r w:rsidR="00754CE7" w:rsidRPr="00CA5F36">
          <w:rPr>
            <w:rStyle w:val="Lienhypertexte"/>
            <w:noProof/>
          </w:rPr>
          <w:t>5.1.4.</w:t>
        </w:r>
        <w:r w:rsidR="00754CE7">
          <w:rPr>
            <w:rFonts w:eastAsiaTheme="minorEastAsia" w:cstheme="minorBidi"/>
            <w:b w:val="0"/>
            <w:noProof/>
            <w:color w:val="auto"/>
            <w:sz w:val="22"/>
            <w:szCs w:val="22"/>
          </w:rPr>
          <w:tab/>
        </w:r>
        <w:r w:rsidR="00754CE7" w:rsidRPr="00CA5F36">
          <w:rPr>
            <w:rStyle w:val="Lienhypertexte"/>
            <w:noProof/>
          </w:rPr>
          <w:t>Date d’effet et durée des engagements sur la continuité et la qualité</w:t>
        </w:r>
        <w:r w:rsidR="00754CE7">
          <w:rPr>
            <w:noProof/>
            <w:webHidden/>
          </w:rPr>
          <w:tab/>
        </w:r>
        <w:r w:rsidR="00754CE7">
          <w:rPr>
            <w:noProof/>
            <w:webHidden/>
          </w:rPr>
          <w:fldChar w:fldCharType="begin"/>
        </w:r>
        <w:r w:rsidR="00754CE7">
          <w:rPr>
            <w:noProof/>
            <w:webHidden/>
          </w:rPr>
          <w:instrText xml:space="preserve"> PAGEREF _Toc21422455 \h </w:instrText>
        </w:r>
        <w:r w:rsidR="00754CE7">
          <w:rPr>
            <w:noProof/>
            <w:webHidden/>
          </w:rPr>
        </w:r>
        <w:r w:rsidR="00754CE7">
          <w:rPr>
            <w:noProof/>
            <w:webHidden/>
          </w:rPr>
          <w:fldChar w:fldCharType="separate"/>
        </w:r>
        <w:r w:rsidR="00754CE7">
          <w:rPr>
            <w:noProof/>
            <w:webHidden/>
          </w:rPr>
          <w:t>32</w:t>
        </w:r>
        <w:r w:rsidR="00754CE7">
          <w:rPr>
            <w:noProof/>
            <w:webHidden/>
          </w:rPr>
          <w:fldChar w:fldCharType="end"/>
        </w:r>
      </w:hyperlink>
    </w:p>
    <w:p w14:paraId="5FAB49E5" w14:textId="77777777" w:rsidR="00754CE7" w:rsidRDefault="003306EB">
      <w:pPr>
        <w:pStyle w:val="TM3"/>
        <w:tabs>
          <w:tab w:val="left" w:pos="1701"/>
        </w:tabs>
        <w:rPr>
          <w:rFonts w:eastAsiaTheme="minorEastAsia" w:cstheme="minorBidi"/>
          <w:b w:val="0"/>
          <w:noProof/>
          <w:color w:val="auto"/>
          <w:sz w:val="22"/>
          <w:szCs w:val="22"/>
        </w:rPr>
      </w:pPr>
      <w:hyperlink w:anchor="_Toc21422456" w:history="1">
        <w:r w:rsidR="00754CE7" w:rsidRPr="00CA5F36">
          <w:rPr>
            <w:rStyle w:val="Lienhypertexte"/>
            <w:noProof/>
          </w:rPr>
          <w:t>5.1.5.</w:t>
        </w:r>
        <w:r w:rsidR="00754CE7">
          <w:rPr>
            <w:rFonts w:eastAsiaTheme="minorEastAsia" w:cstheme="minorBidi"/>
            <w:b w:val="0"/>
            <w:noProof/>
            <w:color w:val="auto"/>
            <w:sz w:val="22"/>
            <w:szCs w:val="22"/>
          </w:rPr>
          <w:tab/>
        </w:r>
        <w:r w:rsidR="00754CE7" w:rsidRPr="00CA5F36">
          <w:rPr>
            <w:rStyle w:val="Lienhypertexte"/>
            <w:noProof/>
          </w:rPr>
          <w:t>Informations sans engagement du GRD en matière de qualité de l’onde</w:t>
        </w:r>
        <w:r w:rsidR="00754CE7">
          <w:rPr>
            <w:noProof/>
            <w:webHidden/>
          </w:rPr>
          <w:tab/>
        </w:r>
        <w:r w:rsidR="00754CE7">
          <w:rPr>
            <w:noProof/>
            <w:webHidden/>
          </w:rPr>
          <w:fldChar w:fldCharType="begin"/>
        </w:r>
        <w:r w:rsidR="00754CE7">
          <w:rPr>
            <w:noProof/>
            <w:webHidden/>
          </w:rPr>
          <w:instrText xml:space="preserve"> PAGEREF _Toc21422456 \h </w:instrText>
        </w:r>
        <w:r w:rsidR="00754CE7">
          <w:rPr>
            <w:noProof/>
            <w:webHidden/>
          </w:rPr>
        </w:r>
        <w:r w:rsidR="00754CE7">
          <w:rPr>
            <w:noProof/>
            <w:webHidden/>
          </w:rPr>
          <w:fldChar w:fldCharType="separate"/>
        </w:r>
        <w:r w:rsidR="00754CE7">
          <w:rPr>
            <w:noProof/>
            <w:webHidden/>
          </w:rPr>
          <w:t>32</w:t>
        </w:r>
        <w:r w:rsidR="00754CE7">
          <w:rPr>
            <w:noProof/>
            <w:webHidden/>
          </w:rPr>
          <w:fldChar w:fldCharType="end"/>
        </w:r>
      </w:hyperlink>
    </w:p>
    <w:p w14:paraId="493EC409" w14:textId="77777777" w:rsidR="00754CE7" w:rsidRDefault="003306EB">
      <w:pPr>
        <w:pStyle w:val="TM3"/>
        <w:tabs>
          <w:tab w:val="left" w:pos="1701"/>
        </w:tabs>
        <w:rPr>
          <w:rFonts w:eastAsiaTheme="minorEastAsia" w:cstheme="minorBidi"/>
          <w:b w:val="0"/>
          <w:noProof/>
          <w:color w:val="auto"/>
          <w:sz w:val="22"/>
          <w:szCs w:val="22"/>
        </w:rPr>
      </w:pPr>
      <w:hyperlink w:anchor="_Toc21422457" w:history="1">
        <w:r w:rsidR="00754CE7" w:rsidRPr="00CA5F36">
          <w:rPr>
            <w:rStyle w:val="Lienhypertexte"/>
            <w:noProof/>
          </w:rPr>
          <w:t>5.1.6.</w:t>
        </w:r>
        <w:r w:rsidR="00754CE7">
          <w:rPr>
            <w:rFonts w:eastAsiaTheme="minorEastAsia" w:cstheme="minorBidi"/>
            <w:b w:val="0"/>
            <w:noProof/>
            <w:color w:val="auto"/>
            <w:sz w:val="22"/>
            <w:szCs w:val="22"/>
          </w:rPr>
          <w:tab/>
        </w:r>
        <w:r w:rsidR="00754CE7" w:rsidRPr="00CA5F36">
          <w:rPr>
            <w:rStyle w:val="Lienhypertexte"/>
            <w:noProof/>
          </w:rPr>
          <w:t>Prestations du GRD relatives à la continuité et à la qualité</w:t>
        </w:r>
        <w:r w:rsidR="00754CE7">
          <w:rPr>
            <w:noProof/>
            <w:webHidden/>
          </w:rPr>
          <w:tab/>
        </w:r>
        <w:r w:rsidR="00754CE7">
          <w:rPr>
            <w:noProof/>
            <w:webHidden/>
          </w:rPr>
          <w:fldChar w:fldCharType="begin"/>
        </w:r>
        <w:r w:rsidR="00754CE7">
          <w:rPr>
            <w:noProof/>
            <w:webHidden/>
          </w:rPr>
          <w:instrText xml:space="preserve"> PAGEREF _Toc21422457 \h </w:instrText>
        </w:r>
        <w:r w:rsidR="00754CE7">
          <w:rPr>
            <w:noProof/>
            <w:webHidden/>
          </w:rPr>
        </w:r>
        <w:r w:rsidR="00754CE7">
          <w:rPr>
            <w:noProof/>
            <w:webHidden/>
          </w:rPr>
          <w:fldChar w:fldCharType="separate"/>
        </w:r>
        <w:r w:rsidR="00754CE7">
          <w:rPr>
            <w:noProof/>
            <w:webHidden/>
          </w:rPr>
          <w:t>34</w:t>
        </w:r>
        <w:r w:rsidR="00754CE7">
          <w:rPr>
            <w:noProof/>
            <w:webHidden/>
          </w:rPr>
          <w:fldChar w:fldCharType="end"/>
        </w:r>
      </w:hyperlink>
    </w:p>
    <w:p w14:paraId="07F3720D" w14:textId="480BA3ED" w:rsidR="00754CE7" w:rsidRDefault="003306EB">
      <w:pPr>
        <w:pStyle w:val="TM3"/>
        <w:tabs>
          <w:tab w:val="left" w:pos="1701"/>
        </w:tabs>
        <w:rPr>
          <w:rFonts w:eastAsiaTheme="minorEastAsia" w:cstheme="minorBidi"/>
          <w:b w:val="0"/>
          <w:noProof/>
          <w:color w:val="auto"/>
          <w:sz w:val="22"/>
          <w:szCs w:val="22"/>
        </w:rPr>
      </w:pPr>
      <w:hyperlink w:anchor="_Toc21422458" w:history="1">
        <w:r w:rsidR="00754CE7" w:rsidRPr="00CA5F36">
          <w:rPr>
            <w:rStyle w:val="Lienhypertexte"/>
            <w:noProof/>
          </w:rPr>
          <w:t>5.1.7.</w:t>
        </w:r>
        <w:r w:rsidR="00754CE7">
          <w:rPr>
            <w:rFonts w:eastAsiaTheme="minorEastAsia" w:cstheme="minorBidi"/>
            <w:b w:val="0"/>
            <w:noProof/>
            <w:color w:val="auto"/>
            <w:sz w:val="22"/>
            <w:szCs w:val="22"/>
          </w:rPr>
          <w:tab/>
        </w:r>
        <w:r w:rsidR="00754CE7" w:rsidRPr="00CA5F36">
          <w:rPr>
            <w:rStyle w:val="Lienhypertexte"/>
            <w:noProof/>
          </w:rPr>
          <w:t>Mesures prises par le GRD pour l’information des Clients en cas d'incident affectant le RPD</w:t>
        </w:r>
        <w:r w:rsidR="00754CE7">
          <w:rPr>
            <w:noProof/>
            <w:webHidden/>
          </w:rPr>
          <w:tab/>
        </w:r>
        <w:r w:rsidR="00754CE7">
          <w:rPr>
            <w:noProof/>
            <w:webHidden/>
          </w:rPr>
          <w:fldChar w:fldCharType="begin"/>
        </w:r>
        <w:r w:rsidR="00754CE7">
          <w:rPr>
            <w:noProof/>
            <w:webHidden/>
          </w:rPr>
          <w:instrText xml:space="preserve"> PAGEREF _Toc21422458 \h </w:instrText>
        </w:r>
        <w:r w:rsidR="00754CE7">
          <w:rPr>
            <w:noProof/>
            <w:webHidden/>
          </w:rPr>
        </w:r>
        <w:r w:rsidR="00754CE7">
          <w:rPr>
            <w:noProof/>
            <w:webHidden/>
          </w:rPr>
          <w:fldChar w:fldCharType="separate"/>
        </w:r>
        <w:r w:rsidR="00754CE7">
          <w:rPr>
            <w:noProof/>
            <w:webHidden/>
          </w:rPr>
          <w:t>34</w:t>
        </w:r>
        <w:r w:rsidR="00754CE7">
          <w:rPr>
            <w:noProof/>
            <w:webHidden/>
          </w:rPr>
          <w:fldChar w:fldCharType="end"/>
        </w:r>
      </w:hyperlink>
    </w:p>
    <w:p w14:paraId="216B1BF7" w14:textId="77777777" w:rsidR="00754CE7" w:rsidRDefault="003306EB">
      <w:pPr>
        <w:pStyle w:val="TM2"/>
        <w:rPr>
          <w:rFonts w:eastAsiaTheme="minorEastAsia" w:cstheme="minorBidi"/>
          <w:noProof/>
          <w:color w:val="auto"/>
          <w:szCs w:val="22"/>
        </w:rPr>
      </w:pPr>
      <w:hyperlink w:anchor="_Toc21422459" w:history="1">
        <w:r w:rsidR="00754CE7" w:rsidRPr="00CA5F36">
          <w:rPr>
            <w:rStyle w:val="Lienhypertexte"/>
            <w:noProof/>
          </w:rPr>
          <w:t>5.2.</w:t>
        </w:r>
        <w:r w:rsidR="00754CE7">
          <w:rPr>
            <w:rFonts w:eastAsiaTheme="minorEastAsia" w:cstheme="minorBidi"/>
            <w:noProof/>
            <w:color w:val="auto"/>
            <w:szCs w:val="22"/>
          </w:rPr>
          <w:tab/>
        </w:r>
        <w:r w:rsidR="00754CE7" w:rsidRPr="00CA5F36">
          <w:rPr>
            <w:rStyle w:val="Lienhypertexte"/>
            <w:noProof/>
          </w:rPr>
          <w:t>Engagements du Client</w:t>
        </w:r>
        <w:r w:rsidR="00754CE7">
          <w:rPr>
            <w:noProof/>
            <w:webHidden/>
          </w:rPr>
          <w:tab/>
        </w:r>
        <w:r w:rsidR="00754CE7">
          <w:rPr>
            <w:noProof/>
            <w:webHidden/>
          </w:rPr>
          <w:fldChar w:fldCharType="begin"/>
        </w:r>
        <w:r w:rsidR="00754CE7">
          <w:rPr>
            <w:noProof/>
            <w:webHidden/>
          </w:rPr>
          <w:instrText xml:space="preserve"> PAGEREF _Toc21422459 \h </w:instrText>
        </w:r>
        <w:r w:rsidR="00754CE7">
          <w:rPr>
            <w:noProof/>
            <w:webHidden/>
          </w:rPr>
        </w:r>
        <w:r w:rsidR="00754CE7">
          <w:rPr>
            <w:noProof/>
            <w:webHidden/>
          </w:rPr>
          <w:fldChar w:fldCharType="separate"/>
        </w:r>
        <w:r w:rsidR="00754CE7">
          <w:rPr>
            <w:noProof/>
            <w:webHidden/>
          </w:rPr>
          <w:t>35</w:t>
        </w:r>
        <w:r w:rsidR="00754CE7">
          <w:rPr>
            <w:noProof/>
            <w:webHidden/>
          </w:rPr>
          <w:fldChar w:fldCharType="end"/>
        </w:r>
      </w:hyperlink>
    </w:p>
    <w:p w14:paraId="251C91E6" w14:textId="77777777" w:rsidR="00754CE7" w:rsidRDefault="003306EB">
      <w:pPr>
        <w:pStyle w:val="TM3"/>
        <w:tabs>
          <w:tab w:val="left" w:pos="1701"/>
        </w:tabs>
        <w:rPr>
          <w:rFonts w:eastAsiaTheme="minorEastAsia" w:cstheme="minorBidi"/>
          <w:b w:val="0"/>
          <w:noProof/>
          <w:color w:val="auto"/>
          <w:sz w:val="22"/>
          <w:szCs w:val="22"/>
        </w:rPr>
      </w:pPr>
      <w:hyperlink w:anchor="_Toc21422460" w:history="1">
        <w:r w:rsidR="00754CE7" w:rsidRPr="00CA5F36">
          <w:rPr>
            <w:rStyle w:val="Lienhypertexte"/>
            <w:noProof/>
          </w:rPr>
          <w:t>5.2.1.</w:t>
        </w:r>
        <w:r w:rsidR="00754CE7">
          <w:rPr>
            <w:rFonts w:eastAsiaTheme="minorEastAsia" w:cstheme="minorBidi"/>
            <w:b w:val="0"/>
            <w:noProof/>
            <w:color w:val="auto"/>
            <w:sz w:val="22"/>
            <w:szCs w:val="22"/>
          </w:rPr>
          <w:tab/>
        </w:r>
        <w:r w:rsidR="00754CE7" w:rsidRPr="00CA5F36">
          <w:rPr>
            <w:rStyle w:val="Lienhypertexte"/>
            <w:noProof/>
          </w:rPr>
          <w:t>Obligation de prudence</w:t>
        </w:r>
        <w:r w:rsidR="00754CE7">
          <w:rPr>
            <w:noProof/>
            <w:webHidden/>
          </w:rPr>
          <w:tab/>
        </w:r>
        <w:r w:rsidR="00754CE7">
          <w:rPr>
            <w:noProof/>
            <w:webHidden/>
          </w:rPr>
          <w:fldChar w:fldCharType="begin"/>
        </w:r>
        <w:r w:rsidR="00754CE7">
          <w:rPr>
            <w:noProof/>
            <w:webHidden/>
          </w:rPr>
          <w:instrText xml:space="preserve"> PAGEREF _Toc21422460 \h </w:instrText>
        </w:r>
        <w:r w:rsidR="00754CE7">
          <w:rPr>
            <w:noProof/>
            <w:webHidden/>
          </w:rPr>
        </w:r>
        <w:r w:rsidR="00754CE7">
          <w:rPr>
            <w:noProof/>
            <w:webHidden/>
          </w:rPr>
          <w:fldChar w:fldCharType="separate"/>
        </w:r>
        <w:r w:rsidR="00754CE7">
          <w:rPr>
            <w:noProof/>
            <w:webHidden/>
          </w:rPr>
          <w:t>35</w:t>
        </w:r>
        <w:r w:rsidR="00754CE7">
          <w:rPr>
            <w:noProof/>
            <w:webHidden/>
          </w:rPr>
          <w:fldChar w:fldCharType="end"/>
        </w:r>
      </w:hyperlink>
    </w:p>
    <w:p w14:paraId="5415DCC0" w14:textId="77777777" w:rsidR="00754CE7" w:rsidRDefault="003306EB">
      <w:pPr>
        <w:pStyle w:val="TM3"/>
        <w:tabs>
          <w:tab w:val="left" w:pos="1701"/>
        </w:tabs>
        <w:rPr>
          <w:rFonts w:eastAsiaTheme="minorEastAsia" w:cstheme="minorBidi"/>
          <w:b w:val="0"/>
          <w:noProof/>
          <w:color w:val="auto"/>
          <w:sz w:val="22"/>
          <w:szCs w:val="22"/>
        </w:rPr>
      </w:pPr>
      <w:hyperlink w:anchor="_Toc21422461" w:history="1">
        <w:r w:rsidR="00754CE7" w:rsidRPr="00CA5F36">
          <w:rPr>
            <w:rStyle w:val="Lienhypertexte"/>
            <w:noProof/>
          </w:rPr>
          <w:t>5.2.2.</w:t>
        </w:r>
        <w:r w:rsidR="00754CE7">
          <w:rPr>
            <w:rFonts w:eastAsiaTheme="minorEastAsia" w:cstheme="minorBidi"/>
            <w:b w:val="0"/>
            <w:noProof/>
            <w:color w:val="auto"/>
            <w:sz w:val="22"/>
            <w:szCs w:val="22"/>
          </w:rPr>
          <w:tab/>
        </w:r>
        <w:r w:rsidR="00754CE7" w:rsidRPr="00CA5F36">
          <w:rPr>
            <w:rStyle w:val="Lienhypertexte"/>
            <w:noProof/>
          </w:rPr>
          <w:t>Engagements du Client sur les niveaux de perturbation générée par le Site</w:t>
        </w:r>
        <w:r w:rsidR="00754CE7">
          <w:rPr>
            <w:noProof/>
            <w:webHidden/>
          </w:rPr>
          <w:tab/>
        </w:r>
        <w:r w:rsidR="00754CE7">
          <w:rPr>
            <w:noProof/>
            <w:webHidden/>
          </w:rPr>
          <w:fldChar w:fldCharType="begin"/>
        </w:r>
        <w:r w:rsidR="00754CE7">
          <w:rPr>
            <w:noProof/>
            <w:webHidden/>
          </w:rPr>
          <w:instrText xml:space="preserve"> PAGEREF _Toc21422461 \h </w:instrText>
        </w:r>
        <w:r w:rsidR="00754CE7">
          <w:rPr>
            <w:noProof/>
            <w:webHidden/>
          </w:rPr>
        </w:r>
        <w:r w:rsidR="00754CE7">
          <w:rPr>
            <w:noProof/>
            <w:webHidden/>
          </w:rPr>
          <w:fldChar w:fldCharType="separate"/>
        </w:r>
        <w:r w:rsidR="00754CE7">
          <w:rPr>
            <w:noProof/>
            <w:webHidden/>
          </w:rPr>
          <w:t>35</w:t>
        </w:r>
        <w:r w:rsidR="00754CE7">
          <w:rPr>
            <w:noProof/>
            <w:webHidden/>
          </w:rPr>
          <w:fldChar w:fldCharType="end"/>
        </w:r>
      </w:hyperlink>
    </w:p>
    <w:p w14:paraId="65C2946E" w14:textId="77777777" w:rsidR="00754CE7" w:rsidRDefault="003306EB">
      <w:pPr>
        <w:pStyle w:val="TM3"/>
        <w:tabs>
          <w:tab w:val="left" w:pos="1701"/>
        </w:tabs>
        <w:rPr>
          <w:rFonts w:eastAsiaTheme="minorEastAsia" w:cstheme="minorBidi"/>
          <w:b w:val="0"/>
          <w:noProof/>
          <w:color w:val="auto"/>
          <w:sz w:val="22"/>
          <w:szCs w:val="22"/>
        </w:rPr>
      </w:pPr>
      <w:hyperlink w:anchor="_Toc21422462" w:history="1">
        <w:r w:rsidR="00754CE7" w:rsidRPr="00CA5F36">
          <w:rPr>
            <w:rStyle w:val="Lienhypertexte"/>
            <w:noProof/>
          </w:rPr>
          <w:t>5.2.3.</w:t>
        </w:r>
        <w:r w:rsidR="00754CE7">
          <w:rPr>
            <w:rFonts w:eastAsiaTheme="minorEastAsia" w:cstheme="minorBidi"/>
            <w:b w:val="0"/>
            <w:noProof/>
            <w:color w:val="auto"/>
            <w:sz w:val="22"/>
            <w:szCs w:val="22"/>
          </w:rPr>
          <w:tab/>
        </w:r>
        <w:r w:rsidR="00754CE7" w:rsidRPr="00CA5F36">
          <w:rPr>
            <w:rStyle w:val="Lienhypertexte"/>
            <w:noProof/>
          </w:rPr>
          <w:t>Dispositif particulier de limitation des perturbations sur le Réseau Public de Distribution</w:t>
        </w:r>
        <w:r w:rsidR="00754CE7">
          <w:rPr>
            <w:noProof/>
            <w:webHidden/>
          </w:rPr>
          <w:tab/>
        </w:r>
        <w:r w:rsidR="00754CE7">
          <w:rPr>
            <w:noProof/>
            <w:webHidden/>
          </w:rPr>
          <w:fldChar w:fldCharType="begin"/>
        </w:r>
        <w:r w:rsidR="00754CE7">
          <w:rPr>
            <w:noProof/>
            <w:webHidden/>
          </w:rPr>
          <w:instrText xml:space="preserve"> PAGEREF _Toc21422462 \h </w:instrText>
        </w:r>
        <w:r w:rsidR="00754CE7">
          <w:rPr>
            <w:noProof/>
            <w:webHidden/>
          </w:rPr>
        </w:r>
        <w:r w:rsidR="00754CE7">
          <w:rPr>
            <w:noProof/>
            <w:webHidden/>
          </w:rPr>
          <w:fldChar w:fldCharType="separate"/>
        </w:r>
        <w:r w:rsidR="00754CE7">
          <w:rPr>
            <w:noProof/>
            <w:webHidden/>
          </w:rPr>
          <w:t>37</w:t>
        </w:r>
        <w:r w:rsidR="00754CE7">
          <w:rPr>
            <w:noProof/>
            <w:webHidden/>
          </w:rPr>
          <w:fldChar w:fldCharType="end"/>
        </w:r>
      </w:hyperlink>
    </w:p>
    <w:p w14:paraId="74C52244" w14:textId="77777777" w:rsidR="00754CE7" w:rsidRDefault="003306EB">
      <w:pPr>
        <w:pStyle w:val="TM1"/>
        <w:rPr>
          <w:rFonts w:eastAsiaTheme="minorEastAsia" w:cstheme="minorBidi"/>
          <w:b w:val="0"/>
          <w:noProof/>
          <w:color w:val="auto"/>
          <w:sz w:val="22"/>
          <w:szCs w:val="22"/>
        </w:rPr>
      </w:pPr>
      <w:hyperlink w:anchor="_Toc21422463" w:history="1">
        <w:r w:rsidR="00754CE7" w:rsidRPr="00CA5F36">
          <w:rPr>
            <w:rStyle w:val="Lienhypertexte"/>
            <w:bCs/>
            <w:noProof/>
          </w:rPr>
          <w:t>6.</w:t>
        </w:r>
        <w:r w:rsidR="00754CE7">
          <w:rPr>
            <w:rFonts w:eastAsiaTheme="minorEastAsia" w:cstheme="minorBidi"/>
            <w:b w:val="0"/>
            <w:noProof/>
            <w:color w:val="auto"/>
            <w:sz w:val="22"/>
            <w:szCs w:val="22"/>
          </w:rPr>
          <w:tab/>
        </w:r>
        <w:r w:rsidR="00754CE7" w:rsidRPr="00CA5F36">
          <w:rPr>
            <w:rStyle w:val="Lienhypertexte"/>
            <w:noProof/>
          </w:rPr>
          <w:t>Responsable d’Equilibre</w:t>
        </w:r>
        <w:r w:rsidR="00754CE7">
          <w:rPr>
            <w:noProof/>
            <w:webHidden/>
          </w:rPr>
          <w:tab/>
        </w:r>
        <w:r w:rsidR="00754CE7">
          <w:rPr>
            <w:noProof/>
            <w:webHidden/>
          </w:rPr>
          <w:fldChar w:fldCharType="begin"/>
        </w:r>
        <w:r w:rsidR="00754CE7">
          <w:rPr>
            <w:noProof/>
            <w:webHidden/>
          </w:rPr>
          <w:instrText xml:space="preserve"> PAGEREF _Toc21422463 \h </w:instrText>
        </w:r>
        <w:r w:rsidR="00754CE7">
          <w:rPr>
            <w:noProof/>
            <w:webHidden/>
          </w:rPr>
        </w:r>
        <w:r w:rsidR="00754CE7">
          <w:rPr>
            <w:noProof/>
            <w:webHidden/>
          </w:rPr>
          <w:fldChar w:fldCharType="separate"/>
        </w:r>
        <w:r w:rsidR="00754CE7">
          <w:rPr>
            <w:noProof/>
            <w:webHidden/>
          </w:rPr>
          <w:t>37</w:t>
        </w:r>
        <w:r w:rsidR="00754CE7">
          <w:rPr>
            <w:noProof/>
            <w:webHidden/>
          </w:rPr>
          <w:fldChar w:fldCharType="end"/>
        </w:r>
      </w:hyperlink>
    </w:p>
    <w:p w14:paraId="49C07088" w14:textId="77777777" w:rsidR="00754CE7" w:rsidRDefault="003306EB">
      <w:pPr>
        <w:pStyle w:val="TM1"/>
        <w:rPr>
          <w:rFonts w:eastAsiaTheme="minorEastAsia" w:cstheme="minorBidi"/>
          <w:b w:val="0"/>
          <w:noProof/>
          <w:color w:val="auto"/>
          <w:sz w:val="22"/>
          <w:szCs w:val="22"/>
        </w:rPr>
      </w:pPr>
      <w:hyperlink w:anchor="_Toc21422464" w:history="1">
        <w:r w:rsidR="00754CE7" w:rsidRPr="00CA5F36">
          <w:rPr>
            <w:rStyle w:val="Lienhypertexte"/>
            <w:bCs/>
            <w:noProof/>
          </w:rPr>
          <w:t>7.</w:t>
        </w:r>
        <w:r w:rsidR="00754CE7">
          <w:rPr>
            <w:rFonts w:eastAsiaTheme="minorEastAsia" w:cstheme="minorBidi"/>
            <w:b w:val="0"/>
            <w:noProof/>
            <w:color w:val="auto"/>
            <w:sz w:val="22"/>
            <w:szCs w:val="22"/>
          </w:rPr>
          <w:tab/>
        </w:r>
        <w:r w:rsidR="00754CE7" w:rsidRPr="00CA5F36">
          <w:rPr>
            <w:rStyle w:val="Lienhypertexte"/>
            <w:noProof/>
          </w:rPr>
          <w:t>Tarification de l’accès et de l’utilisation du Réseau Public de Distribution</w:t>
        </w:r>
        <w:r w:rsidR="00754CE7">
          <w:rPr>
            <w:noProof/>
            <w:webHidden/>
          </w:rPr>
          <w:tab/>
        </w:r>
        <w:r w:rsidR="00754CE7">
          <w:rPr>
            <w:noProof/>
            <w:webHidden/>
          </w:rPr>
          <w:fldChar w:fldCharType="begin"/>
        </w:r>
        <w:r w:rsidR="00754CE7">
          <w:rPr>
            <w:noProof/>
            <w:webHidden/>
          </w:rPr>
          <w:instrText xml:space="preserve"> PAGEREF _Toc21422464 \h </w:instrText>
        </w:r>
        <w:r w:rsidR="00754CE7">
          <w:rPr>
            <w:noProof/>
            <w:webHidden/>
          </w:rPr>
        </w:r>
        <w:r w:rsidR="00754CE7">
          <w:rPr>
            <w:noProof/>
            <w:webHidden/>
          </w:rPr>
          <w:fldChar w:fldCharType="separate"/>
        </w:r>
        <w:r w:rsidR="00754CE7">
          <w:rPr>
            <w:noProof/>
            <w:webHidden/>
          </w:rPr>
          <w:t>38</w:t>
        </w:r>
        <w:r w:rsidR="00754CE7">
          <w:rPr>
            <w:noProof/>
            <w:webHidden/>
          </w:rPr>
          <w:fldChar w:fldCharType="end"/>
        </w:r>
      </w:hyperlink>
    </w:p>
    <w:p w14:paraId="76A9E58C" w14:textId="77777777" w:rsidR="00754CE7" w:rsidRDefault="003306EB">
      <w:pPr>
        <w:pStyle w:val="TM1"/>
        <w:rPr>
          <w:rFonts w:eastAsiaTheme="minorEastAsia" w:cstheme="minorBidi"/>
          <w:b w:val="0"/>
          <w:noProof/>
          <w:color w:val="auto"/>
          <w:sz w:val="22"/>
          <w:szCs w:val="22"/>
        </w:rPr>
      </w:pPr>
      <w:hyperlink w:anchor="_Toc21422465" w:history="1">
        <w:r w:rsidR="00754CE7" w:rsidRPr="00CA5F36">
          <w:rPr>
            <w:rStyle w:val="Lienhypertexte"/>
            <w:bCs/>
            <w:noProof/>
          </w:rPr>
          <w:t>8.</w:t>
        </w:r>
        <w:r w:rsidR="00754CE7">
          <w:rPr>
            <w:rFonts w:eastAsiaTheme="minorEastAsia" w:cstheme="minorBidi"/>
            <w:b w:val="0"/>
            <w:noProof/>
            <w:color w:val="auto"/>
            <w:sz w:val="22"/>
            <w:szCs w:val="22"/>
          </w:rPr>
          <w:tab/>
        </w:r>
        <w:r w:rsidR="00754CE7" w:rsidRPr="00CA5F36">
          <w:rPr>
            <w:rStyle w:val="Lienhypertexte"/>
            <w:noProof/>
          </w:rPr>
          <w:t>Règles de sécurité</w:t>
        </w:r>
        <w:r w:rsidR="00754CE7">
          <w:rPr>
            <w:noProof/>
            <w:webHidden/>
          </w:rPr>
          <w:tab/>
        </w:r>
        <w:r w:rsidR="00754CE7">
          <w:rPr>
            <w:noProof/>
            <w:webHidden/>
          </w:rPr>
          <w:fldChar w:fldCharType="begin"/>
        </w:r>
        <w:r w:rsidR="00754CE7">
          <w:rPr>
            <w:noProof/>
            <w:webHidden/>
          </w:rPr>
          <w:instrText xml:space="preserve"> PAGEREF _Toc21422465 \h </w:instrText>
        </w:r>
        <w:r w:rsidR="00754CE7">
          <w:rPr>
            <w:noProof/>
            <w:webHidden/>
          </w:rPr>
        </w:r>
        <w:r w:rsidR="00754CE7">
          <w:rPr>
            <w:noProof/>
            <w:webHidden/>
          </w:rPr>
          <w:fldChar w:fldCharType="separate"/>
        </w:r>
        <w:r w:rsidR="00754CE7">
          <w:rPr>
            <w:noProof/>
            <w:webHidden/>
          </w:rPr>
          <w:t>38</w:t>
        </w:r>
        <w:r w:rsidR="00754CE7">
          <w:rPr>
            <w:noProof/>
            <w:webHidden/>
          </w:rPr>
          <w:fldChar w:fldCharType="end"/>
        </w:r>
      </w:hyperlink>
    </w:p>
    <w:p w14:paraId="6ED82B63" w14:textId="77777777" w:rsidR="00754CE7" w:rsidRDefault="003306EB">
      <w:pPr>
        <w:pStyle w:val="TM2"/>
        <w:rPr>
          <w:rFonts w:eastAsiaTheme="minorEastAsia" w:cstheme="minorBidi"/>
          <w:noProof/>
          <w:color w:val="auto"/>
          <w:szCs w:val="22"/>
        </w:rPr>
      </w:pPr>
      <w:hyperlink w:anchor="_Toc21422466" w:history="1">
        <w:r w:rsidR="00754CE7" w:rsidRPr="00CA5F36">
          <w:rPr>
            <w:rStyle w:val="Lienhypertexte"/>
            <w:noProof/>
          </w:rPr>
          <w:t>8.1.</w:t>
        </w:r>
        <w:r w:rsidR="00754CE7">
          <w:rPr>
            <w:rFonts w:eastAsiaTheme="minorEastAsia" w:cstheme="minorBidi"/>
            <w:noProof/>
            <w:color w:val="auto"/>
            <w:szCs w:val="22"/>
          </w:rPr>
          <w:tab/>
        </w:r>
        <w:r w:rsidR="00754CE7" w:rsidRPr="00CA5F36">
          <w:rPr>
            <w:rStyle w:val="Lienhypertexte"/>
            <w:noProof/>
          </w:rPr>
          <w:t>Règles générales de sécurité</w:t>
        </w:r>
        <w:r w:rsidR="00754CE7">
          <w:rPr>
            <w:noProof/>
            <w:webHidden/>
          </w:rPr>
          <w:tab/>
        </w:r>
        <w:r w:rsidR="00754CE7">
          <w:rPr>
            <w:noProof/>
            <w:webHidden/>
          </w:rPr>
          <w:fldChar w:fldCharType="begin"/>
        </w:r>
        <w:r w:rsidR="00754CE7">
          <w:rPr>
            <w:noProof/>
            <w:webHidden/>
          </w:rPr>
          <w:instrText xml:space="preserve"> PAGEREF _Toc21422466 \h </w:instrText>
        </w:r>
        <w:r w:rsidR="00754CE7">
          <w:rPr>
            <w:noProof/>
            <w:webHidden/>
          </w:rPr>
        </w:r>
        <w:r w:rsidR="00754CE7">
          <w:rPr>
            <w:noProof/>
            <w:webHidden/>
          </w:rPr>
          <w:fldChar w:fldCharType="separate"/>
        </w:r>
        <w:r w:rsidR="00754CE7">
          <w:rPr>
            <w:noProof/>
            <w:webHidden/>
          </w:rPr>
          <w:t>38</w:t>
        </w:r>
        <w:r w:rsidR="00754CE7">
          <w:rPr>
            <w:noProof/>
            <w:webHidden/>
          </w:rPr>
          <w:fldChar w:fldCharType="end"/>
        </w:r>
      </w:hyperlink>
    </w:p>
    <w:p w14:paraId="760554CC" w14:textId="77777777" w:rsidR="00754CE7" w:rsidRDefault="003306EB">
      <w:pPr>
        <w:pStyle w:val="TM2"/>
        <w:rPr>
          <w:rFonts w:eastAsiaTheme="minorEastAsia" w:cstheme="minorBidi"/>
          <w:noProof/>
          <w:color w:val="auto"/>
          <w:szCs w:val="22"/>
        </w:rPr>
      </w:pPr>
      <w:hyperlink w:anchor="_Toc21422467" w:history="1">
        <w:r w:rsidR="00754CE7" w:rsidRPr="00CA5F36">
          <w:rPr>
            <w:rStyle w:val="Lienhypertexte"/>
            <w:noProof/>
          </w:rPr>
          <w:t>8.2.</w:t>
        </w:r>
        <w:r w:rsidR="00754CE7">
          <w:rPr>
            <w:rFonts w:eastAsiaTheme="minorEastAsia" w:cstheme="minorBidi"/>
            <w:noProof/>
            <w:color w:val="auto"/>
            <w:szCs w:val="22"/>
          </w:rPr>
          <w:tab/>
        </w:r>
        <w:r w:rsidR="00754CE7" w:rsidRPr="00CA5F36">
          <w:rPr>
            <w:rStyle w:val="Lienhypertexte"/>
            <w:noProof/>
          </w:rPr>
          <w:t>Installation électrique intérieure du Client</w:t>
        </w:r>
        <w:r w:rsidR="00754CE7">
          <w:rPr>
            <w:noProof/>
            <w:webHidden/>
          </w:rPr>
          <w:tab/>
        </w:r>
        <w:r w:rsidR="00754CE7">
          <w:rPr>
            <w:noProof/>
            <w:webHidden/>
          </w:rPr>
          <w:fldChar w:fldCharType="begin"/>
        </w:r>
        <w:r w:rsidR="00754CE7">
          <w:rPr>
            <w:noProof/>
            <w:webHidden/>
          </w:rPr>
          <w:instrText xml:space="preserve"> PAGEREF _Toc21422467 \h </w:instrText>
        </w:r>
        <w:r w:rsidR="00754CE7">
          <w:rPr>
            <w:noProof/>
            <w:webHidden/>
          </w:rPr>
        </w:r>
        <w:r w:rsidR="00754CE7">
          <w:rPr>
            <w:noProof/>
            <w:webHidden/>
          </w:rPr>
          <w:fldChar w:fldCharType="separate"/>
        </w:r>
        <w:r w:rsidR="00754CE7">
          <w:rPr>
            <w:noProof/>
            <w:webHidden/>
          </w:rPr>
          <w:t>38</w:t>
        </w:r>
        <w:r w:rsidR="00754CE7">
          <w:rPr>
            <w:noProof/>
            <w:webHidden/>
          </w:rPr>
          <w:fldChar w:fldCharType="end"/>
        </w:r>
      </w:hyperlink>
    </w:p>
    <w:p w14:paraId="4592FC3D" w14:textId="77777777" w:rsidR="00754CE7" w:rsidRDefault="003306EB">
      <w:pPr>
        <w:pStyle w:val="TM1"/>
        <w:rPr>
          <w:rFonts w:eastAsiaTheme="minorEastAsia" w:cstheme="minorBidi"/>
          <w:b w:val="0"/>
          <w:noProof/>
          <w:color w:val="auto"/>
          <w:sz w:val="22"/>
          <w:szCs w:val="22"/>
        </w:rPr>
      </w:pPr>
      <w:hyperlink w:anchor="_Toc21422468" w:history="1">
        <w:r w:rsidR="00754CE7" w:rsidRPr="00CA5F36">
          <w:rPr>
            <w:rStyle w:val="Lienhypertexte"/>
            <w:bCs/>
            <w:noProof/>
          </w:rPr>
          <w:t>9.</w:t>
        </w:r>
        <w:r w:rsidR="00754CE7">
          <w:rPr>
            <w:rFonts w:eastAsiaTheme="minorEastAsia" w:cstheme="minorBidi"/>
            <w:b w:val="0"/>
            <w:noProof/>
            <w:color w:val="auto"/>
            <w:sz w:val="22"/>
            <w:szCs w:val="22"/>
          </w:rPr>
          <w:tab/>
        </w:r>
        <w:r w:rsidR="00754CE7" w:rsidRPr="00CA5F36">
          <w:rPr>
            <w:rStyle w:val="Lienhypertexte"/>
            <w:noProof/>
          </w:rPr>
          <w:t>Responsabilité</w:t>
        </w:r>
        <w:r w:rsidR="00754CE7">
          <w:rPr>
            <w:noProof/>
            <w:webHidden/>
          </w:rPr>
          <w:tab/>
        </w:r>
        <w:r w:rsidR="00754CE7">
          <w:rPr>
            <w:noProof/>
            <w:webHidden/>
          </w:rPr>
          <w:fldChar w:fldCharType="begin"/>
        </w:r>
        <w:r w:rsidR="00754CE7">
          <w:rPr>
            <w:noProof/>
            <w:webHidden/>
          </w:rPr>
          <w:instrText xml:space="preserve"> PAGEREF _Toc21422468 \h </w:instrText>
        </w:r>
        <w:r w:rsidR="00754CE7">
          <w:rPr>
            <w:noProof/>
            <w:webHidden/>
          </w:rPr>
        </w:r>
        <w:r w:rsidR="00754CE7">
          <w:rPr>
            <w:noProof/>
            <w:webHidden/>
          </w:rPr>
          <w:fldChar w:fldCharType="separate"/>
        </w:r>
        <w:r w:rsidR="00754CE7">
          <w:rPr>
            <w:noProof/>
            <w:webHidden/>
          </w:rPr>
          <w:t>39</w:t>
        </w:r>
        <w:r w:rsidR="00754CE7">
          <w:rPr>
            <w:noProof/>
            <w:webHidden/>
          </w:rPr>
          <w:fldChar w:fldCharType="end"/>
        </w:r>
      </w:hyperlink>
    </w:p>
    <w:p w14:paraId="32E379D1" w14:textId="77777777" w:rsidR="00754CE7" w:rsidRDefault="003306EB">
      <w:pPr>
        <w:pStyle w:val="TM2"/>
        <w:rPr>
          <w:rFonts w:eastAsiaTheme="minorEastAsia" w:cstheme="minorBidi"/>
          <w:noProof/>
          <w:color w:val="auto"/>
          <w:szCs w:val="22"/>
        </w:rPr>
      </w:pPr>
      <w:hyperlink w:anchor="_Toc21422469" w:history="1">
        <w:r w:rsidR="00754CE7" w:rsidRPr="00CA5F36">
          <w:rPr>
            <w:rStyle w:val="Lienhypertexte"/>
            <w:noProof/>
          </w:rPr>
          <w:t>9.1.</w:t>
        </w:r>
        <w:r w:rsidR="00754CE7">
          <w:rPr>
            <w:rFonts w:eastAsiaTheme="minorEastAsia" w:cstheme="minorBidi"/>
            <w:noProof/>
            <w:color w:val="auto"/>
            <w:szCs w:val="22"/>
          </w:rPr>
          <w:tab/>
        </w:r>
        <w:r w:rsidR="00754CE7" w:rsidRPr="00CA5F36">
          <w:rPr>
            <w:rStyle w:val="Lienhypertexte"/>
            <w:noProof/>
          </w:rPr>
          <w:t>Responsabilité du GRD vis-à-vis du Client</w:t>
        </w:r>
        <w:r w:rsidR="00754CE7">
          <w:rPr>
            <w:noProof/>
            <w:webHidden/>
          </w:rPr>
          <w:tab/>
        </w:r>
        <w:r w:rsidR="00754CE7">
          <w:rPr>
            <w:noProof/>
            <w:webHidden/>
          </w:rPr>
          <w:fldChar w:fldCharType="begin"/>
        </w:r>
        <w:r w:rsidR="00754CE7">
          <w:rPr>
            <w:noProof/>
            <w:webHidden/>
          </w:rPr>
          <w:instrText xml:space="preserve"> PAGEREF _Toc21422469 \h </w:instrText>
        </w:r>
        <w:r w:rsidR="00754CE7">
          <w:rPr>
            <w:noProof/>
            <w:webHidden/>
          </w:rPr>
        </w:r>
        <w:r w:rsidR="00754CE7">
          <w:rPr>
            <w:noProof/>
            <w:webHidden/>
          </w:rPr>
          <w:fldChar w:fldCharType="separate"/>
        </w:r>
        <w:r w:rsidR="00754CE7">
          <w:rPr>
            <w:noProof/>
            <w:webHidden/>
          </w:rPr>
          <w:t>39</w:t>
        </w:r>
        <w:r w:rsidR="00754CE7">
          <w:rPr>
            <w:noProof/>
            <w:webHidden/>
          </w:rPr>
          <w:fldChar w:fldCharType="end"/>
        </w:r>
      </w:hyperlink>
    </w:p>
    <w:p w14:paraId="5BC50F9B" w14:textId="77777777" w:rsidR="00754CE7" w:rsidRDefault="003306EB">
      <w:pPr>
        <w:pStyle w:val="TM3"/>
        <w:tabs>
          <w:tab w:val="left" w:pos="1701"/>
        </w:tabs>
        <w:rPr>
          <w:rFonts w:eastAsiaTheme="minorEastAsia" w:cstheme="minorBidi"/>
          <w:b w:val="0"/>
          <w:noProof/>
          <w:color w:val="auto"/>
          <w:sz w:val="22"/>
          <w:szCs w:val="22"/>
        </w:rPr>
      </w:pPr>
      <w:hyperlink w:anchor="_Toc21422470" w:history="1">
        <w:r w:rsidR="00754CE7" w:rsidRPr="00CA5F36">
          <w:rPr>
            <w:rStyle w:val="Lienhypertexte"/>
            <w:noProof/>
          </w:rPr>
          <w:t>9.1.1.</w:t>
        </w:r>
        <w:r w:rsidR="00754CE7">
          <w:rPr>
            <w:rFonts w:eastAsiaTheme="minorEastAsia" w:cstheme="minorBidi"/>
            <w:b w:val="0"/>
            <w:noProof/>
            <w:color w:val="auto"/>
            <w:sz w:val="22"/>
            <w:szCs w:val="22"/>
          </w:rPr>
          <w:tab/>
        </w:r>
        <w:r w:rsidR="00754CE7" w:rsidRPr="00CA5F36">
          <w:rPr>
            <w:rStyle w:val="Lienhypertexte"/>
            <w:noProof/>
          </w:rPr>
          <w:t>Engagement et responsabilité du GRD vis-à-vis du Client</w:t>
        </w:r>
        <w:r w:rsidR="00754CE7">
          <w:rPr>
            <w:noProof/>
            <w:webHidden/>
          </w:rPr>
          <w:tab/>
        </w:r>
        <w:r w:rsidR="00754CE7">
          <w:rPr>
            <w:noProof/>
            <w:webHidden/>
          </w:rPr>
          <w:fldChar w:fldCharType="begin"/>
        </w:r>
        <w:r w:rsidR="00754CE7">
          <w:rPr>
            <w:noProof/>
            <w:webHidden/>
          </w:rPr>
          <w:instrText xml:space="preserve"> PAGEREF _Toc21422470 \h </w:instrText>
        </w:r>
        <w:r w:rsidR="00754CE7">
          <w:rPr>
            <w:noProof/>
            <w:webHidden/>
          </w:rPr>
        </w:r>
        <w:r w:rsidR="00754CE7">
          <w:rPr>
            <w:noProof/>
            <w:webHidden/>
          </w:rPr>
          <w:fldChar w:fldCharType="separate"/>
        </w:r>
        <w:r w:rsidR="00754CE7">
          <w:rPr>
            <w:noProof/>
            <w:webHidden/>
          </w:rPr>
          <w:t>39</w:t>
        </w:r>
        <w:r w:rsidR="00754CE7">
          <w:rPr>
            <w:noProof/>
            <w:webHidden/>
          </w:rPr>
          <w:fldChar w:fldCharType="end"/>
        </w:r>
      </w:hyperlink>
    </w:p>
    <w:p w14:paraId="31F48E7E" w14:textId="77777777" w:rsidR="00754CE7" w:rsidRDefault="003306EB">
      <w:pPr>
        <w:pStyle w:val="TM3"/>
        <w:tabs>
          <w:tab w:val="left" w:pos="1701"/>
        </w:tabs>
        <w:rPr>
          <w:rFonts w:eastAsiaTheme="minorEastAsia" w:cstheme="minorBidi"/>
          <w:b w:val="0"/>
          <w:noProof/>
          <w:color w:val="auto"/>
          <w:sz w:val="22"/>
          <w:szCs w:val="22"/>
        </w:rPr>
      </w:pPr>
      <w:hyperlink w:anchor="_Toc21422471" w:history="1">
        <w:r w:rsidR="00754CE7" w:rsidRPr="00CA5F36">
          <w:rPr>
            <w:rStyle w:val="Lienhypertexte"/>
            <w:noProof/>
          </w:rPr>
          <w:t>9.1.2.</w:t>
        </w:r>
        <w:r w:rsidR="00754CE7">
          <w:rPr>
            <w:rFonts w:eastAsiaTheme="minorEastAsia" w:cstheme="minorBidi"/>
            <w:b w:val="0"/>
            <w:noProof/>
            <w:color w:val="auto"/>
            <w:sz w:val="22"/>
            <w:szCs w:val="22"/>
          </w:rPr>
          <w:tab/>
        </w:r>
        <w:r w:rsidR="00754CE7" w:rsidRPr="00CA5F36">
          <w:rPr>
            <w:rStyle w:val="Lienhypertexte"/>
            <w:noProof/>
          </w:rPr>
          <w:t>Traitement des réclamations du Client</w:t>
        </w:r>
        <w:r w:rsidR="00754CE7">
          <w:rPr>
            <w:noProof/>
            <w:webHidden/>
          </w:rPr>
          <w:tab/>
        </w:r>
        <w:r w:rsidR="00754CE7">
          <w:rPr>
            <w:noProof/>
            <w:webHidden/>
          </w:rPr>
          <w:fldChar w:fldCharType="begin"/>
        </w:r>
        <w:r w:rsidR="00754CE7">
          <w:rPr>
            <w:noProof/>
            <w:webHidden/>
          </w:rPr>
          <w:instrText xml:space="preserve"> PAGEREF _Toc21422471 \h </w:instrText>
        </w:r>
        <w:r w:rsidR="00754CE7">
          <w:rPr>
            <w:noProof/>
            <w:webHidden/>
          </w:rPr>
        </w:r>
        <w:r w:rsidR="00754CE7">
          <w:rPr>
            <w:noProof/>
            <w:webHidden/>
          </w:rPr>
          <w:fldChar w:fldCharType="separate"/>
        </w:r>
        <w:r w:rsidR="00754CE7">
          <w:rPr>
            <w:noProof/>
            <w:webHidden/>
          </w:rPr>
          <w:t>39</w:t>
        </w:r>
        <w:r w:rsidR="00754CE7">
          <w:rPr>
            <w:noProof/>
            <w:webHidden/>
          </w:rPr>
          <w:fldChar w:fldCharType="end"/>
        </w:r>
      </w:hyperlink>
    </w:p>
    <w:p w14:paraId="0E0B41CE" w14:textId="77777777" w:rsidR="00754CE7" w:rsidRDefault="003306EB">
      <w:pPr>
        <w:pStyle w:val="TM2"/>
        <w:rPr>
          <w:rFonts w:eastAsiaTheme="minorEastAsia" w:cstheme="minorBidi"/>
          <w:noProof/>
          <w:color w:val="auto"/>
          <w:szCs w:val="22"/>
        </w:rPr>
      </w:pPr>
      <w:hyperlink w:anchor="_Toc21422472" w:history="1">
        <w:r w:rsidR="00754CE7" w:rsidRPr="00CA5F36">
          <w:rPr>
            <w:rStyle w:val="Lienhypertexte"/>
            <w:noProof/>
          </w:rPr>
          <w:t>9.2.</w:t>
        </w:r>
        <w:r w:rsidR="00754CE7">
          <w:rPr>
            <w:rFonts w:eastAsiaTheme="minorEastAsia" w:cstheme="minorBidi"/>
            <w:noProof/>
            <w:color w:val="auto"/>
            <w:szCs w:val="22"/>
          </w:rPr>
          <w:tab/>
        </w:r>
        <w:r w:rsidR="00754CE7" w:rsidRPr="00CA5F36">
          <w:rPr>
            <w:rStyle w:val="Lienhypertexte"/>
            <w:noProof/>
          </w:rPr>
          <w:t>Responsabilité du Client vis-à-vis du GRD</w:t>
        </w:r>
        <w:r w:rsidR="00754CE7">
          <w:rPr>
            <w:noProof/>
            <w:webHidden/>
          </w:rPr>
          <w:tab/>
        </w:r>
        <w:r w:rsidR="00754CE7">
          <w:rPr>
            <w:noProof/>
            <w:webHidden/>
          </w:rPr>
          <w:fldChar w:fldCharType="begin"/>
        </w:r>
        <w:r w:rsidR="00754CE7">
          <w:rPr>
            <w:noProof/>
            <w:webHidden/>
          </w:rPr>
          <w:instrText xml:space="preserve"> PAGEREF _Toc21422472 \h </w:instrText>
        </w:r>
        <w:r w:rsidR="00754CE7">
          <w:rPr>
            <w:noProof/>
            <w:webHidden/>
          </w:rPr>
        </w:r>
        <w:r w:rsidR="00754CE7">
          <w:rPr>
            <w:noProof/>
            <w:webHidden/>
          </w:rPr>
          <w:fldChar w:fldCharType="separate"/>
        </w:r>
        <w:r w:rsidR="00754CE7">
          <w:rPr>
            <w:noProof/>
            <w:webHidden/>
          </w:rPr>
          <w:t>41</w:t>
        </w:r>
        <w:r w:rsidR="00754CE7">
          <w:rPr>
            <w:noProof/>
            <w:webHidden/>
          </w:rPr>
          <w:fldChar w:fldCharType="end"/>
        </w:r>
      </w:hyperlink>
    </w:p>
    <w:p w14:paraId="60E840FE" w14:textId="77777777" w:rsidR="00754CE7" w:rsidRDefault="003306EB">
      <w:pPr>
        <w:pStyle w:val="TM2"/>
        <w:rPr>
          <w:rFonts w:eastAsiaTheme="minorEastAsia" w:cstheme="minorBidi"/>
          <w:noProof/>
          <w:color w:val="auto"/>
          <w:szCs w:val="22"/>
        </w:rPr>
      </w:pPr>
      <w:hyperlink w:anchor="_Toc21422473" w:history="1">
        <w:r w:rsidR="00754CE7" w:rsidRPr="00CA5F36">
          <w:rPr>
            <w:rStyle w:val="Lienhypertexte"/>
            <w:noProof/>
          </w:rPr>
          <w:t>9.3.</w:t>
        </w:r>
        <w:r w:rsidR="00754CE7">
          <w:rPr>
            <w:rFonts w:eastAsiaTheme="minorEastAsia" w:cstheme="minorBidi"/>
            <w:noProof/>
            <w:color w:val="auto"/>
            <w:szCs w:val="22"/>
          </w:rPr>
          <w:tab/>
        </w:r>
        <w:r w:rsidR="00754CE7" w:rsidRPr="00CA5F36">
          <w:rPr>
            <w:rStyle w:val="Lienhypertexte"/>
            <w:noProof/>
          </w:rPr>
          <w:t>Responsabilité en matière de qualité et de continuité</w:t>
        </w:r>
        <w:r w:rsidR="00754CE7">
          <w:rPr>
            <w:noProof/>
            <w:webHidden/>
          </w:rPr>
          <w:tab/>
        </w:r>
        <w:r w:rsidR="00754CE7">
          <w:rPr>
            <w:noProof/>
            <w:webHidden/>
          </w:rPr>
          <w:fldChar w:fldCharType="begin"/>
        </w:r>
        <w:r w:rsidR="00754CE7">
          <w:rPr>
            <w:noProof/>
            <w:webHidden/>
          </w:rPr>
          <w:instrText xml:space="preserve"> PAGEREF _Toc21422473 \h </w:instrText>
        </w:r>
        <w:r w:rsidR="00754CE7">
          <w:rPr>
            <w:noProof/>
            <w:webHidden/>
          </w:rPr>
        </w:r>
        <w:r w:rsidR="00754CE7">
          <w:rPr>
            <w:noProof/>
            <w:webHidden/>
          </w:rPr>
          <w:fldChar w:fldCharType="separate"/>
        </w:r>
        <w:r w:rsidR="00754CE7">
          <w:rPr>
            <w:noProof/>
            <w:webHidden/>
          </w:rPr>
          <w:t>41</w:t>
        </w:r>
        <w:r w:rsidR="00754CE7">
          <w:rPr>
            <w:noProof/>
            <w:webHidden/>
          </w:rPr>
          <w:fldChar w:fldCharType="end"/>
        </w:r>
      </w:hyperlink>
    </w:p>
    <w:p w14:paraId="49124337" w14:textId="77777777" w:rsidR="00754CE7" w:rsidRDefault="003306EB">
      <w:pPr>
        <w:pStyle w:val="TM3"/>
        <w:tabs>
          <w:tab w:val="left" w:pos="1701"/>
        </w:tabs>
        <w:rPr>
          <w:rFonts w:eastAsiaTheme="minorEastAsia" w:cstheme="minorBidi"/>
          <w:b w:val="0"/>
          <w:noProof/>
          <w:color w:val="auto"/>
          <w:sz w:val="22"/>
          <w:szCs w:val="22"/>
        </w:rPr>
      </w:pPr>
      <w:hyperlink w:anchor="_Toc21422474" w:history="1">
        <w:r w:rsidR="00754CE7" w:rsidRPr="00CA5F36">
          <w:rPr>
            <w:rStyle w:val="Lienhypertexte"/>
            <w:noProof/>
          </w:rPr>
          <w:t>9.3.1.</w:t>
        </w:r>
        <w:r w:rsidR="00754CE7">
          <w:rPr>
            <w:rFonts w:eastAsiaTheme="minorEastAsia" w:cstheme="minorBidi"/>
            <w:b w:val="0"/>
            <w:noProof/>
            <w:color w:val="auto"/>
            <w:sz w:val="22"/>
            <w:szCs w:val="22"/>
          </w:rPr>
          <w:tab/>
        </w:r>
        <w:r w:rsidR="00754CE7" w:rsidRPr="00CA5F36">
          <w:rPr>
            <w:rStyle w:val="Lienhypertexte"/>
            <w:noProof/>
          </w:rPr>
          <w:t>Régime de responsabilité applicable au GRD</w:t>
        </w:r>
        <w:r w:rsidR="00754CE7">
          <w:rPr>
            <w:noProof/>
            <w:webHidden/>
          </w:rPr>
          <w:tab/>
        </w:r>
        <w:r w:rsidR="00754CE7">
          <w:rPr>
            <w:noProof/>
            <w:webHidden/>
          </w:rPr>
          <w:fldChar w:fldCharType="begin"/>
        </w:r>
        <w:r w:rsidR="00754CE7">
          <w:rPr>
            <w:noProof/>
            <w:webHidden/>
          </w:rPr>
          <w:instrText xml:space="preserve"> PAGEREF _Toc21422474 \h </w:instrText>
        </w:r>
        <w:r w:rsidR="00754CE7">
          <w:rPr>
            <w:noProof/>
            <w:webHidden/>
          </w:rPr>
        </w:r>
        <w:r w:rsidR="00754CE7">
          <w:rPr>
            <w:noProof/>
            <w:webHidden/>
          </w:rPr>
          <w:fldChar w:fldCharType="separate"/>
        </w:r>
        <w:r w:rsidR="00754CE7">
          <w:rPr>
            <w:noProof/>
            <w:webHidden/>
          </w:rPr>
          <w:t>41</w:t>
        </w:r>
        <w:r w:rsidR="00754CE7">
          <w:rPr>
            <w:noProof/>
            <w:webHidden/>
          </w:rPr>
          <w:fldChar w:fldCharType="end"/>
        </w:r>
      </w:hyperlink>
    </w:p>
    <w:p w14:paraId="5CA960E2" w14:textId="77777777" w:rsidR="00754CE7" w:rsidRDefault="003306EB">
      <w:pPr>
        <w:pStyle w:val="TM3"/>
        <w:tabs>
          <w:tab w:val="left" w:pos="1701"/>
        </w:tabs>
        <w:rPr>
          <w:rFonts w:eastAsiaTheme="minorEastAsia" w:cstheme="minorBidi"/>
          <w:b w:val="0"/>
          <w:noProof/>
          <w:color w:val="auto"/>
          <w:sz w:val="22"/>
          <w:szCs w:val="22"/>
        </w:rPr>
      </w:pPr>
      <w:hyperlink w:anchor="_Toc21422475" w:history="1">
        <w:r w:rsidR="00754CE7" w:rsidRPr="00CA5F36">
          <w:rPr>
            <w:rStyle w:val="Lienhypertexte"/>
            <w:noProof/>
          </w:rPr>
          <w:t>9.3.2.</w:t>
        </w:r>
        <w:r w:rsidR="00754CE7">
          <w:rPr>
            <w:rFonts w:eastAsiaTheme="minorEastAsia" w:cstheme="minorBidi"/>
            <w:b w:val="0"/>
            <w:noProof/>
            <w:color w:val="auto"/>
            <w:sz w:val="22"/>
            <w:szCs w:val="22"/>
          </w:rPr>
          <w:tab/>
        </w:r>
        <w:r w:rsidR="00754CE7" w:rsidRPr="00CA5F36">
          <w:rPr>
            <w:rStyle w:val="Lienhypertexte"/>
            <w:noProof/>
          </w:rPr>
          <w:t>Régime de responsabilité applicable au Client</w:t>
        </w:r>
        <w:r w:rsidR="00754CE7">
          <w:rPr>
            <w:noProof/>
            <w:webHidden/>
          </w:rPr>
          <w:tab/>
        </w:r>
        <w:r w:rsidR="00754CE7">
          <w:rPr>
            <w:noProof/>
            <w:webHidden/>
          </w:rPr>
          <w:fldChar w:fldCharType="begin"/>
        </w:r>
        <w:r w:rsidR="00754CE7">
          <w:rPr>
            <w:noProof/>
            <w:webHidden/>
          </w:rPr>
          <w:instrText xml:space="preserve"> PAGEREF _Toc21422475 \h </w:instrText>
        </w:r>
        <w:r w:rsidR="00754CE7">
          <w:rPr>
            <w:noProof/>
            <w:webHidden/>
          </w:rPr>
        </w:r>
        <w:r w:rsidR="00754CE7">
          <w:rPr>
            <w:noProof/>
            <w:webHidden/>
          </w:rPr>
          <w:fldChar w:fldCharType="separate"/>
        </w:r>
        <w:r w:rsidR="00754CE7">
          <w:rPr>
            <w:noProof/>
            <w:webHidden/>
          </w:rPr>
          <w:t>41</w:t>
        </w:r>
        <w:r w:rsidR="00754CE7">
          <w:rPr>
            <w:noProof/>
            <w:webHidden/>
          </w:rPr>
          <w:fldChar w:fldCharType="end"/>
        </w:r>
      </w:hyperlink>
    </w:p>
    <w:p w14:paraId="68F69803" w14:textId="77777777" w:rsidR="00754CE7" w:rsidRDefault="003306EB">
      <w:pPr>
        <w:pStyle w:val="TM2"/>
        <w:rPr>
          <w:rFonts w:eastAsiaTheme="minorEastAsia" w:cstheme="minorBidi"/>
          <w:noProof/>
          <w:color w:val="auto"/>
          <w:szCs w:val="22"/>
        </w:rPr>
      </w:pPr>
      <w:hyperlink w:anchor="_Toc21422476" w:history="1">
        <w:r w:rsidR="00754CE7" w:rsidRPr="00CA5F36">
          <w:rPr>
            <w:rStyle w:val="Lienhypertexte"/>
            <w:noProof/>
          </w:rPr>
          <w:t>9.4.</w:t>
        </w:r>
        <w:r w:rsidR="00754CE7">
          <w:rPr>
            <w:rFonts w:eastAsiaTheme="minorEastAsia" w:cstheme="minorBidi"/>
            <w:noProof/>
            <w:color w:val="auto"/>
            <w:szCs w:val="22"/>
          </w:rPr>
          <w:tab/>
        </w:r>
        <w:r w:rsidR="00754CE7" w:rsidRPr="00CA5F36">
          <w:rPr>
            <w:rStyle w:val="Lienhypertexte"/>
            <w:noProof/>
          </w:rPr>
          <w:t>Régime perturbé et force majeure</w:t>
        </w:r>
        <w:r w:rsidR="00754CE7">
          <w:rPr>
            <w:noProof/>
            <w:webHidden/>
          </w:rPr>
          <w:tab/>
        </w:r>
        <w:r w:rsidR="00754CE7">
          <w:rPr>
            <w:noProof/>
            <w:webHidden/>
          </w:rPr>
          <w:fldChar w:fldCharType="begin"/>
        </w:r>
        <w:r w:rsidR="00754CE7">
          <w:rPr>
            <w:noProof/>
            <w:webHidden/>
          </w:rPr>
          <w:instrText xml:space="preserve"> PAGEREF _Toc21422476 \h </w:instrText>
        </w:r>
        <w:r w:rsidR="00754CE7">
          <w:rPr>
            <w:noProof/>
            <w:webHidden/>
          </w:rPr>
        </w:r>
        <w:r w:rsidR="00754CE7">
          <w:rPr>
            <w:noProof/>
            <w:webHidden/>
          </w:rPr>
          <w:fldChar w:fldCharType="separate"/>
        </w:r>
        <w:r w:rsidR="00754CE7">
          <w:rPr>
            <w:noProof/>
            <w:webHidden/>
          </w:rPr>
          <w:t>41</w:t>
        </w:r>
        <w:r w:rsidR="00754CE7">
          <w:rPr>
            <w:noProof/>
            <w:webHidden/>
          </w:rPr>
          <w:fldChar w:fldCharType="end"/>
        </w:r>
      </w:hyperlink>
    </w:p>
    <w:p w14:paraId="5732AA18" w14:textId="77777777" w:rsidR="00754CE7" w:rsidRDefault="003306EB">
      <w:pPr>
        <w:pStyle w:val="TM3"/>
        <w:tabs>
          <w:tab w:val="left" w:pos="1701"/>
        </w:tabs>
        <w:rPr>
          <w:rFonts w:eastAsiaTheme="minorEastAsia" w:cstheme="minorBidi"/>
          <w:b w:val="0"/>
          <w:noProof/>
          <w:color w:val="auto"/>
          <w:sz w:val="22"/>
          <w:szCs w:val="22"/>
        </w:rPr>
      </w:pPr>
      <w:hyperlink w:anchor="_Toc21422477" w:history="1">
        <w:r w:rsidR="00754CE7" w:rsidRPr="00CA5F36">
          <w:rPr>
            <w:rStyle w:val="Lienhypertexte"/>
            <w:noProof/>
          </w:rPr>
          <w:t>9.4.1.</w:t>
        </w:r>
        <w:r w:rsidR="00754CE7">
          <w:rPr>
            <w:rFonts w:eastAsiaTheme="minorEastAsia" w:cstheme="minorBidi"/>
            <w:b w:val="0"/>
            <w:noProof/>
            <w:color w:val="auto"/>
            <w:sz w:val="22"/>
            <w:szCs w:val="22"/>
          </w:rPr>
          <w:tab/>
        </w:r>
        <w:r w:rsidR="00754CE7" w:rsidRPr="00CA5F36">
          <w:rPr>
            <w:rStyle w:val="Lienhypertexte"/>
            <w:noProof/>
          </w:rPr>
          <w:t>Définition</w:t>
        </w:r>
        <w:r w:rsidR="00754CE7">
          <w:rPr>
            <w:noProof/>
            <w:webHidden/>
          </w:rPr>
          <w:tab/>
        </w:r>
        <w:r w:rsidR="00754CE7">
          <w:rPr>
            <w:noProof/>
            <w:webHidden/>
          </w:rPr>
          <w:fldChar w:fldCharType="begin"/>
        </w:r>
        <w:r w:rsidR="00754CE7">
          <w:rPr>
            <w:noProof/>
            <w:webHidden/>
          </w:rPr>
          <w:instrText xml:space="preserve"> PAGEREF _Toc21422477 \h </w:instrText>
        </w:r>
        <w:r w:rsidR="00754CE7">
          <w:rPr>
            <w:noProof/>
            <w:webHidden/>
          </w:rPr>
        </w:r>
        <w:r w:rsidR="00754CE7">
          <w:rPr>
            <w:noProof/>
            <w:webHidden/>
          </w:rPr>
          <w:fldChar w:fldCharType="separate"/>
        </w:r>
        <w:r w:rsidR="00754CE7">
          <w:rPr>
            <w:noProof/>
            <w:webHidden/>
          </w:rPr>
          <w:t>41</w:t>
        </w:r>
        <w:r w:rsidR="00754CE7">
          <w:rPr>
            <w:noProof/>
            <w:webHidden/>
          </w:rPr>
          <w:fldChar w:fldCharType="end"/>
        </w:r>
      </w:hyperlink>
    </w:p>
    <w:p w14:paraId="4DB42FFD" w14:textId="77777777" w:rsidR="00754CE7" w:rsidRDefault="003306EB">
      <w:pPr>
        <w:pStyle w:val="TM3"/>
        <w:tabs>
          <w:tab w:val="left" w:pos="1701"/>
        </w:tabs>
        <w:rPr>
          <w:rFonts w:eastAsiaTheme="minorEastAsia" w:cstheme="minorBidi"/>
          <w:b w:val="0"/>
          <w:noProof/>
          <w:color w:val="auto"/>
          <w:sz w:val="22"/>
          <w:szCs w:val="22"/>
        </w:rPr>
      </w:pPr>
      <w:hyperlink w:anchor="_Toc21422478" w:history="1">
        <w:r w:rsidR="00754CE7" w:rsidRPr="00CA5F36">
          <w:rPr>
            <w:rStyle w:val="Lienhypertexte"/>
            <w:noProof/>
          </w:rPr>
          <w:t>9.4.2.</w:t>
        </w:r>
        <w:r w:rsidR="00754CE7">
          <w:rPr>
            <w:rFonts w:eastAsiaTheme="minorEastAsia" w:cstheme="minorBidi"/>
            <w:b w:val="0"/>
            <w:noProof/>
            <w:color w:val="auto"/>
            <w:sz w:val="22"/>
            <w:szCs w:val="22"/>
          </w:rPr>
          <w:tab/>
        </w:r>
        <w:r w:rsidR="00754CE7" w:rsidRPr="00CA5F36">
          <w:rPr>
            <w:rStyle w:val="Lienhypertexte"/>
            <w:noProof/>
          </w:rPr>
          <w:t>Régime juridique</w:t>
        </w:r>
        <w:r w:rsidR="00754CE7">
          <w:rPr>
            <w:noProof/>
            <w:webHidden/>
          </w:rPr>
          <w:tab/>
        </w:r>
        <w:r w:rsidR="00754CE7">
          <w:rPr>
            <w:noProof/>
            <w:webHidden/>
          </w:rPr>
          <w:fldChar w:fldCharType="begin"/>
        </w:r>
        <w:r w:rsidR="00754CE7">
          <w:rPr>
            <w:noProof/>
            <w:webHidden/>
          </w:rPr>
          <w:instrText xml:space="preserve"> PAGEREF _Toc21422478 \h </w:instrText>
        </w:r>
        <w:r w:rsidR="00754CE7">
          <w:rPr>
            <w:noProof/>
            <w:webHidden/>
          </w:rPr>
        </w:r>
        <w:r w:rsidR="00754CE7">
          <w:rPr>
            <w:noProof/>
            <w:webHidden/>
          </w:rPr>
          <w:fldChar w:fldCharType="separate"/>
        </w:r>
        <w:r w:rsidR="00754CE7">
          <w:rPr>
            <w:noProof/>
            <w:webHidden/>
          </w:rPr>
          <w:t>42</w:t>
        </w:r>
        <w:r w:rsidR="00754CE7">
          <w:rPr>
            <w:noProof/>
            <w:webHidden/>
          </w:rPr>
          <w:fldChar w:fldCharType="end"/>
        </w:r>
      </w:hyperlink>
    </w:p>
    <w:p w14:paraId="14A1CB83" w14:textId="77777777" w:rsidR="00754CE7" w:rsidRDefault="003306EB">
      <w:pPr>
        <w:pStyle w:val="TM1"/>
        <w:rPr>
          <w:rFonts w:eastAsiaTheme="minorEastAsia" w:cstheme="minorBidi"/>
          <w:b w:val="0"/>
          <w:noProof/>
          <w:color w:val="auto"/>
          <w:sz w:val="22"/>
          <w:szCs w:val="22"/>
        </w:rPr>
      </w:pPr>
      <w:hyperlink w:anchor="_Toc21422479" w:history="1">
        <w:r w:rsidR="00754CE7" w:rsidRPr="00CA5F36">
          <w:rPr>
            <w:rStyle w:val="Lienhypertexte"/>
            <w:bCs/>
            <w:noProof/>
          </w:rPr>
          <w:t>10.</w:t>
        </w:r>
        <w:r w:rsidR="00754CE7">
          <w:rPr>
            <w:rFonts w:eastAsiaTheme="minorEastAsia" w:cstheme="minorBidi"/>
            <w:b w:val="0"/>
            <w:noProof/>
            <w:color w:val="auto"/>
            <w:sz w:val="22"/>
            <w:szCs w:val="22"/>
          </w:rPr>
          <w:tab/>
        </w:r>
        <w:r w:rsidR="00754CE7" w:rsidRPr="00CA5F36">
          <w:rPr>
            <w:rStyle w:val="Lienhypertexte"/>
            <w:noProof/>
          </w:rPr>
          <w:t>Application des présentes dispositions générales</w:t>
        </w:r>
        <w:r w:rsidR="00754CE7">
          <w:rPr>
            <w:noProof/>
            <w:webHidden/>
          </w:rPr>
          <w:tab/>
        </w:r>
        <w:r w:rsidR="00754CE7">
          <w:rPr>
            <w:noProof/>
            <w:webHidden/>
          </w:rPr>
          <w:fldChar w:fldCharType="begin"/>
        </w:r>
        <w:r w:rsidR="00754CE7">
          <w:rPr>
            <w:noProof/>
            <w:webHidden/>
          </w:rPr>
          <w:instrText xml:space="preserve"> PAGEREF _Toc21422479 \h </w:instrText>
        </w:r>
        <w:r w:rsidR="00754CE7">
          <w:rPr>
            <w:noProof/>
            <w:webHidden/>
          </w:rPr>
        </w:r>
        <w:r w:rsidR="00754CE7">
          <w:rPr>
            <w:noProof/>
            <w:webHidden/>
          </w:rPr>
          <w:fldChar w:fldCharType="separate"/>
        </w:r>
        <w:r w:rsidR="00754CE7">
          <w:rPr>
            <w:noProof/>
            <w:webHidden/>
          </w:rPr>
          <w:t>42</w:t>
        </w:r>
        <w:r w:rsidR="00754CE7">
          <w:rPr>
            <w:noProof/>
            <w:webHidden/>
          </w:rPr>
          <w:fldChar w:fldCharType="end"/>
        </w:r>
      </w:hyperlink>
    </w:p>
    <w:p w14:paraId="1E0928D3" w14:textId="77777777" w:rsidR="00754CE7" w:rsidRDefault="003306EB">
      <w:pPr>
        <w:pStyle w:val="TM2"/>
        <w:rPr>
          <w:rFonts w:eastAsiaTheme="minorEastAsia" w:cstheme="minorBidi"/>
          <w:noProof/>
          <w:color w:val="auto"/>
          <w:szCs w:val="22"/>
        </w:rPr>
      </w:pPr>
      <w:hyperlink w:anchor="_Toc21422480" w:history="1">
        <w:r w:rsidR="00754CE7" w:rsidRPr="00CA5F36">
          <w:rPr>
            <w:rStyle w:val="Lienhypertexte"/>
            <w:noProof/>
          </w:rPr>
          <w:t>10.1.</w:t>
        </w:r>
        <w:r w:rsidR="00754CE7">
          <w:rPr>
            <w:rFonts w:eastAsiaTheme="minorEastAsia" w:cstheme="minorBidi"/>
            <w:noProof/>
            <w:color w:val="auto"/>
            <w:szCs w:val="22"/>
          </w:rPr>
          <w:tab/>
        </w:r>
        <w:r w:rsidR="00754CE7" w:rsidRPr="00CA5F36">
          <w:rPr>
            <w:rStyle w:val="Lienhypertexte"/>
            <w:noProof/>
          </w:rPr>
          <w:t>Adaptation</w:t>
        </w:r>
        <w:r w:rsidR="00754CE7">
          <w:rPr>
            <w:noProof/>
            <w:webHidden/>
          </w:rPr>
          <w:tab/>
        </w:r>
        <w:r w:rsidR="00754CE7">
          <w:rPr>
            <w:noProof/>
            <w:webHidden/>
          </w:rPr>
          <w:fldChar w:fldCharType="begin"/>
        </w:r>
        <w:r w:rsidR="00754CE7">
          <w:rPr>
            <w:noProof/>
            <w:webHidden/>
          </w:rPr>
          <w:instrText xml:space="preserve"> PAGEREF _Toc21422480 \h </w:instrText>
        </w:r>
        <w:r w:rsidR="00754CE7">
          <w:rPr>
            <w:noProof/>
            <w:webHidden/>
          </w:rPr>
        </w:r>
        <w:r w:rsidR="00754CE7">
          <w:rPr>
            <w:noProof/>
            <w:webHidden/>
          </w:rPr>
          <w:fldChar w:fldCharType="separate"/>
        </w:r>
        <w:r w:rsidR="00754CE7">
          <w:rPr>
            <w:noProof/>
            <w:webHidden/>
          </w:rPr>
          <w:t>42</w:t>
        </w:r>
        <w:r w:rsidR="00754CE7">
          <w:rPr>
            <w:noProof/>
            <w:webHidden/>
          </w:rPr>
          <w:fldChar w:fldCharType="end"/>
        </w:r>
      </w:hyperlink>
    </w:p>
    <w:p w14:paraId="606FDE06" w14:textId="77777777" w:rsidR="00754CE7" w:rsidRDefault="003306EB">
      <w:pPr>
        <w:pStyle w:val="TM2"/>
        <w:rPr>
          <w:rFonts w:eastAsiaTheme="minorEastAsia" w:cstheme="minorBidi"/>
          <w:noProof/>
          <w:color w:val="auto"/>
          <w:szCs w:val="22"/>
        </w:rPr>
      </w:pPr>
      <w:hyperlink w:anchor="_Toc21422481" w:history="1">
        <w:r w:rsidR="00754CE7" w:rsidRPr="00CA5F36">
          <w:rPr>
            <w:rStyle w:val="Lienhypertexte"/>
            <w:noProof/>
          </w:rPr>
          <w:t>10.2.</w:t>
        </w:r>
        <w:r w:rsidR="00754CE7">
          <w:rPr>
            <w:rFonts w:eastAsiaTheme="minorEastAsia" w:cstheme="minorBidi"/>
            <w:noProof/>
            <w:color w:val="auto"/>
            <w:szCs w:val="22"/>
          </w:rPr>
          <w:tab/>
        </w:r>
        <w:r w:rsidR="00754CE7" w:rsidRPr="00CA5F36">
          <w:rPr>
            <w:rStyle w:val="Lienhypertexte"/>
            <w:noProof/>
          </w:rPr>
          <w:t>Suspension de l’accès au Réseau Public de Distribution à la demande du Fournisseur</w:t>
        </w:r>
        <w:r w:rsidR="00754CE7">
          <w:rPr>
            <w:noProof/>
            <w:webHidden/>
          </w:rPr>
          <w:tab/>
        </w:r>
        <w:r w:rsidR="00754CE7">
          <w:rPr>
            <w:noProof/>
            <w:webHidden/>
          </w:rPr>
          <w:fldChar w:fldCharType="begin"/>
        </w:r>
        <w:r w:rsidR="00754CE7">
          <w:rPr>
            <w:noProof/>
            <w:webHidden/>
          </w:rPr>
          <w:instrText xml:space="preserve"> PAGEREF _Toc21422481 \h </w:instrText>
        </w:r>
        <w:r w:rsidR="00754CE7">
          <w:rPr>
            <w:noProof/>
            <w:webHidden/>
          </w:rPr>
        </w:r>
        <w:r w:rsidR="00754CE7">
          <w:rPr>
            <w:noProof/>
            <w:webHidden/>
          </w:rPr>
          <w:fldChar w:fldCharType="separate"/>
        </w:r>
        <w:r w:rsidR="00754CE7">
          <w:rPr>
            <w:noProof/>
            <w:webHidden/>
          </w:rPr>
          <w:t>42</w:t>
        </w:r>
        <w:r w:rsidR="00754CE7">
          <w:rPr>
            <w:noProof/>
            <w:webHidden/>
          </w:rPr>
          <w:fldChar w:fldCharType="end"/>
        </w:r>
      </w:hyperlink>
    </w:p>
    <w:p w14:paraId="3EA56EF0" w14:textId="77777777" w:rsidR="00754CE7" w:rsidRDefault="003306EB">
      <w:pPr>
        <w:pStyle w:val="TM2"/>
        <w:rPr>
          <w:rFonts w:eastAsiaTheme="minorEastAsia" w:cstheme="minorBidi"/>
          <w:noProof/>
          <w:color w:val="auto"/>
          <w:szCs w:val="22"/>
        </w:rPr>
      </w:pPr>
      <w:hyperlink w:anchor="_Toc21422482" w:history="1">
        <w:r w:rsidR="00754CE7" w:rsidRPr="00CA5F36">
          <w:rPr>
            <w:rStyle w:val="Lienhypertexte"/>
            <w:noProof/>
          </w:rPr>
          <w:t>10.3.</w:t>
        </w:r>
        <w:r w:rsidR="00754CE7">
          <w:rPr>
            <w:rFonts w:eastAsiaTheme="minorEastAsia" w:cstheme="minorBidi"/>
            <w:noProof/>
            <w:color w:val="auto"/>
            <w:szCs w:val="22"/>
          </w:rPr>
          <w:tab/>
        </w:r>
        <w:r w:rsidR="00754CE7" w:rsidRPr="00CA5F36">
          <w:rPr>
            <w:rStyle w:val="Lienhypertexte"/>
            <w:noProof/>
          </w:rPr>
          <w:t>Suspension de l’accès au Réseau Public de Distribution à l’initiative du GRD</w:t>
        </w:r>
        <w:r w:rsidR="00754CE7">
          <w:rPr>
            <w:noProof/>
            <w:webHidden/>
          </w:rPr>
          <w:tab/>
        </w:r>
        <w:r w:rsidR="00754CE7">
          <w:rPr>
            <w:noProof/>
            <w:webHidden/>
          </w:rPr>
          <w:fldChar w:fldCharType="begin"/>
        </w:r>
        <w:r w:rsidR="00754CE7">
          <w:rPr>
            <w:noProof/>
            <w:webHidden/>
          </w:rPr>
          <w:instrText xml:space="preserve"> PAGEREF _Toc21422482 \h </w:instrText>
        </w:r>
        <w:r w:rsidR="00754CE7">
          <w:rPr>
            <w:noProof/>
            <w:webHidden/>
          </w:rPr>
        </w:r>
        <w:r w:rsidR="00754CE7">
          <w:rPr>
            <w:noProof/>
            <w:webHidden/>
          </w:rPr>
          <w:fldChar w:fldCharType="separate"/>
        </w:r>
        <w:r w:rsidR="00754CE7">
          <w:rPr>
            <w:noProof/>
            <w:webHidden/>
          </w:rPr>
          <w:t>43</w:t>
        </w:r>
        <w:r w:rsidR="00754CE7">
          <w:rPr>
            <w:noProof/>
            <w:webHidden/>
          </w:rPr>
          <w:fldChar w:fldCharType="end"/>
        </w:r>
      </w:hyperlink>
    </w:p>
    <w:p w14:paraId="6B9DB019" w14:textId="77777777" w:rsidR="00754CE7" w:rsidRDefault="003306EB">
      <w:pPr>
        <w:pStyle w:val="TM2"/>
        <w:rPr>
          <w:rFonts w:eastAsiaTheme="minorEastAsia" w:cstheme="minorBidi"/>
          <w:noProof/>
          <w:color w:val="auto"/>
          <w:szCs w:val="22"/>
        </w:rPr>
      </w:pPr>
      <w:hyperlink w:anchor="_Toc21422483" w:history="1">
        <w:r w:rsidR="00754CE7" w:rsidRPr="00CA5F36">
          <w:rPr>
            <w:rStyle w:val="Lienhypertexte"/>
            <w:noProof/>
          </w:rPr>
          <w:t>10.4.</w:t>
        </w:r>
        <w:r w:rsidR="00754CE7">
          <w:rPr>
            <w:rFonts w:eastAsiaTheme="minorEastAsia" w:cstheme="minorBidi"/>
            <w:noProof/>
            <w:color w:val="auto"/>
            <w:szCs w:val="22"/>
          </w:rPr>
          <w:tab/>
        </w:r>
        <w:r w:rsidR="00754CE7" w:rsidRPr="00CA5F36">
          <w:rPr>
            <w:rStyle w:val="Lienhypertexte"/>
            <w:noProof/>
          </w:rPr>
          <w:t>Résiliation d’un Contrat Unique à l’initiative du Client</w:t>
        </w:r>
        <w:r w:rsidR="00754CE7">
          <w:rPr>
            <w:noProof/>
            <w:webHidden/>
          </w:rPr>
          <w:tab/>
        </w:r>
        <w:r w:rsidR="00754CE7">
          <w:rPr>
            <w:noProof/>
            <w:webHidden/>
          </w:rPr>
          <w:fldChar w:fldCharType="begin"/>
        </w:r>
        <w:r w:rsidR="00754CE7">
          <w:rPr>
            <w:noProof/>
            <w:webHidden/>
          </w:rPr>
          <w:instrText xml:space="preserve"> PAGEREF _Toc21422483 \h </w:instrText>
        </w:r>
        <w:r w:rsidR="00754CE7">
          <w:rPr>
            <w:noProof/>
            <w:webHidden/>
          </w:rPr>
        </w:r>
        <w:r w:rsidR="00754CE7">
          <w:rPr>
            <w:noProof/>
            <w:webHidden/>
          </w:rPr>
          <w:fldChar w:fldCharType="separate"/>
        </w:r>
        <w:r w:rsidR="00754CE7">
          <w:rPr>
            <w:noProof/>
            <w:webHidden/>
          </w:rPr>
          <w:t>43</w:t>
        </w:r>
        <w:r w:rsidR="00754CE7">
          <w:rPr>
            <w:noProof/>
            <w:webHidden/>
          </w:rPr>
          <w:fldChar w:fldCharType="end"/>
        </w:r>
      </w:hyperlink>
    </w:p>
    <w:p w14:paraId="1B7990CB" w14:textId="77777777" w:rsidR="00754CE7" w:rsidRDefault="003306EB">
      <w:pPr>
        <w:pStyle w:val="TM3"/>
        <w:tabs>
          <w:tab w:val="left" w:pos="1701"/>
        </w:tabs>
        <w:rPr>
          <w:rFonts w:eastAsiaTheme="minorEastAsia" w:cstheme="minorBidi"/>
          <w:b w:val="0"/>
          <w:noProof/>
          <w:color w:val="auto"/>
          <w:sz w:val="22"/>
          <w:szCs w:val="22"/>
        </w:rPr>
      </w:pPr>
      <w:hyperlink w:anchor="_Toc21422484" w:history="1">
        <w:r w:rsidR="00754CE7" w:rsidRPr="00CA5F36">
          <w:rPr>
            <w:rStyle w:val="Lienhypertexte"/>
            <w:noProof/>
          </w:rPr>
          <w:t>10.4.1.</w:t>
        </w:r>
        <w:r w:rsidR="00754CE7">
          <w:rPr>
            <w:rFonts w:eastAsiaTheme="minorEastAsia" w:cstheme="minorBidi"/>
            <w:b w:val="0"/>
            <w:noProof/>
            <w:color w:val="auto"/>
            <w:sz w:val="22"/>
            <w:szCs w:val="22"/>
          </w:rPr>
          <w:tab/>
        </w:r>
        <w:r w:rsidR="00754CE7" w:rsidRPr="00CA5F36">
          <w:rPr>
            <w:rStyle w:val="Lienhypertexte"/>
            <w:noProof/>
          </w:rPr>
          <w:t>Cas des Clients qui ne souhaitent plus disposer d’un accès au RPD</w:t>
        </w:r>
        <w:r w:rsidR="00754CE7">
          <w:rPr>
            <w:noProof/>
            <w:webHidden/>
          </w:rPr>
          <w:tab/>
        </w:r>
        <w:r w:rsidR="00754CE7">
          <w:rPr>
            <w:noProof/>
            <w:webHidden/>
          </w:rPr>
          <w:fldChar w:fldCharType="begin"/>
        </w:r>
        <w:r w:rsidR="00754CE7">
          <w:rPr>
            <w:noProof/>
            <w:webHidden/>
          </w:rPr>
          <w:instrText xml:space="preserve"> PAGEREF _Toc21422484 \h </w:instrText>
        </w:r>
        <w:r w:rsidR="00754CE7">
          <w:rPr>
            <w:noProof/>
            <w:webHidden/>
          </w:rPr>
        </w:r>
        <w:r w:rsidR="00754CE7">
          <w:rPr>
            <w:noProof/>
            <w:webHidden/>
          </w:rPr>
          <w:fldChar w:fldCharType="separate"/>
        </w:r>
        <w:r w:rsidR="00754CE7">
          <w:rPr>
            <w:noProof/>
            <w:webHidden/>
          </w:rPr>
          <w:t>43</w:t>
        </w:r>
        <w:r w:rsidR="00754CE7">
          <w:rPr>
            <w:noProof/>
            <w:webHidden/>
          </w:rPr>
          <w:fldChar w:fldCharType="end"/>
        </w:r>
      </w:hyperlink>
    </w:p>
    <w:p w14:paraId="21B469D4" w14:textId="77777777" w:rsidR="00754CE7" w:rsidRDefault="003306EB">
      <w:pPr>
        <w:pStyle w:val="TM3"/>
        <w:tabs>
          <w:tab w:val="left" w:pos="1701"/>
        </w:tabs>
        <w:rPr>
          <w:rFonts w:eastAsiaTheme="minorEastAsia" w:cstheme="minorBidi"/>
          <w:b w:val="0"/>
          <w:noProof/>
          <w:color w:val="auto"/>
          <w:sz w:val="22"/>
          <w:szCs w:val="22"/>
        </w:rPr>
      </w:pPr>
      <w:hyperlink w:anchor="_Toc21422485" w:history="1">
        <w:r w:rsidR="00754CE7" w:rsidRPr="00CA5F36">
          <w:rPr>
            <w:rStyle w:val="Lienhypertexte"/>
            <w:noProof/>
          </w:rPr>
          <w:t>10.4.2.</w:t>
        </w:r>
        <w:r w:rsidR="00754CE7">
          <w:rPr>
            <w:rFonts w:eastAsiaTheme="minorEastAsia" w:cstheme="minorBidi"/>
            <w:b w:val="0"/>
            <w:noProof/>
            <w:color w:val="auto"/>
            <w:sz w:val="22"/>
            <w:szCs w:val="22"/>
          </w:rPr>
          <w:tab/>
        </w:r>
        <w:r w:rsidR="00754CE7" w:rsidRPr="00CA5F36">
          <w:rPr>
            <w:rStyle w:val="Lienhypertexte"/>
            <w:noProof/>
          </w:rPr>
          <w:t>Cas des Clients souhaitant souscrire un contrat CARD</w:t>
        </w:r>
        <w:r w:rsidR="00754CE7">
          <w:rPr>
            <w:noProof/>
            <w:webHidden/>
          </w:rPr>
          <w:tab/>
        </w:r>
        <w:r w:rsidR="00754CE7">
          <w:rPr>
            <w:noProof/>
            <w:webHidden/>
          </w:rPr>
          <w:fldChar w:fldCharType="begin"/>
        </w:r>
        <w:r w:rsidR="00754CE7">
          <w:rPr>
            <w:noProof/>
            <w:webHidden/>
          </w:rPr>
          <w:instrText xml:space="preserve"> PAGEREF _Toc21422485 \h </w:instrText>
        </w:r>
        <w:r w:rsidR="00754CE7">
          <w:rPr>
            <w:noProof/>
            <w:webHidden/>
          </w:rPr>
        </w:r>
        <w:r w:rsidR="00754CE7">
          <w:rPr>
            <w:noProof/>
            <w:webHidden/>
          </w:rPr>
          <w:fldChar w:fldCharType="separate"/>
        </w:r>
        <w:r w:rsidR="00754CE7">
          <w:rPr>
            <w:noProof/>
            <w:webHidden/>
          </w:rPr>
          <w:t>43</w:t>
        </w:r>
        <w:r w:rsidR="00754CE7">
          <w:rPr>
            <w:noProof/>
            <w:webHidden/>
          </w:rPr>
          <w:fldChar w:fldCharType="end"/>
        </w:r>
      </w:hyperlink>
    </w:p>
    <w:p w14:paraId="214CB8B1" w14:textId="77777777" w:rsidR="00754CE7" w:rsidRDefault="003306EB">
      <w:pPr>
        <w:pStyle w:val="TM2"/>
        <w:rPr>
          <w:rFonts w:eastAsiaTheme="minorEastAsia" w:cstheme="minorBidi"/>
          <w:noProof/>
          <w:color w:val="auto"/>
          <w:szCs w:val="22"/>
        </w:rPr>
      </w:pPr>
      <w:hyperlink w:anchor="_Toc21422486" w:history="1">
        <w:r w:rsidR="00754CE7" w:rsidRPr="00CA5F36">
          <w:rPr>
            <w:rStyle w:val="Lienhypertexte"/>
            <w:noProof/>
          </w:rPr>
          <w:t>10.5.</w:t>
        </w:r>
        <w:r w:rsidR="00754CE7">
          <w:rPr>
            <w:rFonts w:eastAsiaTheme="minorEastAsia" w:cstheme="minorBidi"/>
            <w:noProof/>
            <w:color w:val="auto"/>
            <w:szCs w:val="22"/>
          </w:rPr>
          <w:tab/>
        </w:r>
        <w:r w:rsidR="00754CE7" w:rsidRPr="00CA5F36">
          <w:rPr>
            <w:rStyle w:val="Lienhypertexte"/>
            <w:noProof/>
          </w:rPr>
          <w:t>Changement de Fournisseur à un Point de Livraison</w:t>
        </w:r>
        <w:r w:rsidR="00754CE7">
          <w:rPr>
            <w:noProof/>
            <w:webHidden/>
          </w:rPr>
          <w:tab/>
        </w:r>
        <w:r w:rsidR="00754CE7">
          <w:rPr>
            <w:noProof/>
            <w:webHidden/>
          </w:rPr>
          <w:fldChar w:fldCharType="begin"/>
        </w:r>
        <w:r w:rsidR="00754CE7">
          <w:rPr>
            <w:noProof/>
            <w:webHidden/>
          </w:rPr>
          <w:instrText xml:space="preserve"> PAGEREF _Toc21422486 \h </w:instrText>
        </w:r>
        <w:r w:rsidR="00754CE7">
          <w:rPr>
            <w:noProof/>
            <w:webHidden/>
          </w:rPr>
        </w:r>
        <w:r w:rsidR="00754CE7">
          <w:rPr>
            <w:noProof/>
            <w:webHidden/>
          </w:rPr>
          <w:fldChar w:fldCharType="separate"/>
        </w:r>
        <w:r w:rsidR="00754CE7">
          <w:rPr>
            <w:noProof/>
            <w:webHidden/>
          </w:rPr>
          <w:t>44</w:t>
        </w:r>
        <w:r w:rsidR="00754CE7">
          <w:rPr>
            <w:noProof/>
            <w:webHidden/>
          </w:rPr>
          <w:fldChar w:fldCharType="end"/>
        </w:r>
      </w:hyperlink>
    </w:p>
    <w:p w14:paraId="17562D81" w14:textId="77777777" w:rsidR="00754CE7" w:rsidRDefault="003306EB">
      <w:pPr>
        <w:pStyle w:val="TM1"/>
        <w:rPr>
          <w:rFonts w:eastAsiaTheme="minorEastAsia" w:cstheme="minorBidi"/>
          <w:b w:val="0"/>
          <w:noProof/>
          <w:color w:val="auto"/>
          <w:sz w:val="22"/>
          <w:szCs w:val="22"/>
        </w:rPr>
      </w:pPr>
      <w:hyperlink w:anchor="_Toc21422487" w:history="1">
        <w:r w:rsidR="00754CE7" w:rsidRPr="00CA5F36">
          <w:rPr>
            <w:rStyle w:val="Lienhypertexte"/>
            <w:bCs/>
            <w:noProof/>
          </w:rPr>
          <w:t>11.</w:t>
        </w:r>
        <w:r w:rsidR="00754CE7">
          <w:rPr>
            <w:rFonts w:eastAsiaTheme="minorEastAsia" w:cstheme="minorBidi"/>
            <w:b w:val="0"/>
            <w:noProof/>
            <w:color w:val="auto"/>
            <w:sz w:val="22"/>
            <w:szCs w:val="22"/>
          </w:rPr>
          <w:tab/>
        </w:r>
        <w:r w:rsidR="00754CE7" w:rsidRPr="00CA5F36">
          <w:rPr>
            <w:rStyle w:val="Lienhypertexte"/>
            <w:noProof/>
          </w:rPr>
          <w:t>Définitions</w:t>
        </w:r>
        <w:r w:rsidR="00754CE7">
          <w:rPr>
            <w:noProof/>
            <w:webHidden/>
          </w:rPr>
          <w:tab/>
        </w:r>
        <w:r w:rsidR="00754CE7">
          <w:rPr>
            <w:noProof/>
            <w:webHidden/>
          </w:rPr>
          <w:fldChar w:fldCharType="begin"/>
        </w:r>
        <w:r w:rsidR="00754CE7">
          <w:rPr>
            <w:noProof/>
            <w:webHidden/>
          </w:rPr>
          <w:instrText xml:space="preserve"> PAGEREF _Toc21422487 \h </w:instrText>
        </w:r>
        <w:r w:rsidR="00754CE7">
          <w:rPr>
            <w:noProof/>
            <w:webHidden/>
          </w:rPr>
        </w:r>
        <w:r w:rsidR="00754CE7">
          <w:rPr>
            <w:noProof/>
            <w:webHidden/>
          </w:rPr>
          <w:fldChar w:fldCharType="separate"/>
        </w:r>
        <w:r w:rsidR="00754CE7">
          <w:rPr>
            <w:noProof/>
            <w:webHidden/>
          </w:rPr>
          <w:t>45</w:t>
        </w:r>
        <w:r w:rsidR="00754CE7">
          <w:rPr>
            <w:noProof/>
            <w:webHidden/>
          </w:rPr>
          <w:fldChar w:fldCharType="end"/>
        </w:r>
      </w:hyperlink>
    </w:p>
    <w:p w14:paraId="6CE38E61" w14:textId="77777777" w:rsidR="00E813EC" w:rsidRPr="00FA158B" w:rsidRDefault="00320193" w:rsidP="009C3752">
      <w:r w:rsidRPr="00FA158B">
        <w:rPr>
          <w:color w:val="005EB8" w:themeColor="background2"/>
          <w:sz w:val="24"/>
        </w:rPr>
        <w:fldChar w:fldCharType="end"/>
      </w:r>
    </w:p>
    <w:p w14:paraId="70DA07C3" w14:textId="77777777" w:rsidR="00E813EC" w:rsidRPr="00FA158B" w:rsidRDefault="00E813EC" w:rsidP="009C3752">
      <w:r w:rsidRPr="00FA158B">
        <w:br w:type="page"/>
      </w:r>
    </w:p>
    <w:p w14:paraId="7768ACA9" w14:textId="77777777" w:rsidR="00F97290" w:rsidRPr="00FA158B" w:rsidRDefault="00F97290" w:rsidP="006F20E6">
      <w:pPr>
        <w:pStyle w:val="STitre1"/>
        <w:numPr>
          <w:ilvl w:val="0"/>
          <w:numId w:val="0"/>
        </w:numPr>
        <w:spacing w:after="240"/>
        <w:ind w:left="357" w:hanging="357"/>
      </w:pPr>
      <w:bookmarkStart w:id="0" w:name="_Toc21422385"/>
      <w:r w:rsidRPr="00FA158B">
        <w:lastRenderedPageBreak/>
        <w:t>Préambule</w:t>
      </w:r>
      <w:bookmarkEnd w:id="0"/>
    </w:p>
    <w:p w14:paraId="05B4D419" w14:textId="77777777" w:rsidR="00F97290" w:rsidRPr="00FA158B" w:rsidRDefault="00F97290" w:rsidP="009C3752">
      <w:pPr>
        <w:rPr>
          <w:szCs w:val="24"/>
        </w:rPr>
      </w:pPr>
      <w:r w:rsidRPr="00FA158B">
        <w:t>Vu la Directive 2009/72/CE</w:t>
      </w:r>
      <w:r w:rsidRPr="00FA158B" w:rsidDel="00CA64FB">
        <w:t xml:space="preserve"> </w:t>
      </w:r>
      <w:r w:rsidRPr="00FA158B">
        <w:t>du 13 juillet 2009 concernant des règles communes pour le marché intérieur de l’électricité ;</w:t>
      </w:r>
    </w:p>
    <w:p w14:paraId="05396A93" w14:textId="77777777" w:rsidR="00F97290" w:rsidRPr="00FA158B" w:rsidRDefault="00F97290" w:rsidP="009C3752">
      <w:r w:rsidRPr="00FA158B">
        <w:t>Vu le code de l’éner</w:t>
      </w:r>
      <w:r w:rsidR="00547899" w:rsidRPr="00FA158B">
        <w:t>gie et notamment ses articles L</w:t>
      </w:r>
      <w:r w:rsidRPr="00FA158B">
        <w:t xml:space="preserve">111-1 et </w:t>
      </w:r>
      <w:r w:rsidR="00547899" w:rsidRPr="00FA158B">
        <w:t>L</w:t>
      </w:r>
      <w:r w:rsidRPr="00FA158B">
        <w:t>111-51 et suivants ;</w:t>
      </w:r>
    </w:p>
    <w:p w14:paraId="06BA3251" w14:textId="77777777" w:rsidR="00F97290" w:rsidRPr="00FA158B" w:rsidRDefault="00F97290" w:rsidP="009C3752">
      <w:r w:rsidRPr="00FA158B">
        <w:t>Vu l’arrêté du 5 juillet 1990, modifié par l'arrêté du 4 janvier 2005, fixant les consignes générales de délestage sur les réseaux électriques ;</w:t>
      </w:r>
    </w:p>
    <w:p w14:paraId="302907A5" w14:textId="77777777" w:rsidR="00F97290" w:rsidRPr="00FA158B" w:rsidRDefault="00F97290" w:rsidP="009C3752">
      <w:r w:rsidRPr="00FA158B">
        <w:t>Vu les articles R341-4 à 8 du code de l’énergie relatifs aux dispositifs de comptage sur les réseaux publics d'électricité ;</w:t>
      </w:r>
    </w:p>
    <w:p w14:paraId="311723F4" w14:textId="77777777" w:rsidR="00F97290" w:rsidRPr="00FA158B" w:rsidRDefault="00F97290" w:rsidP="009C3752">
      <w:r w:rsidRPr="00FA158B">
        <w:t>Vu les tarifs d’utilisation des réseaux publics de transport et de distribution d’électricité en vigueur, pris en application de l’article L341-3 du code de l’énergie ;</w:t>
      </w:r>
    </w:p>
    <w:p w14:paraId="5FCB0767" w14:textId="570EDE72" w:rsidR="00F97290" w:rsidRPr="00FA158B" w:rsidRDefault="00F97290" w:rsidP="009C3752">
      <w:r w:rsidRPr="002A16AA">
        <w:t xml:space="preserve">Vu les dispositions liant le gestionnaire du Réseau Public de Distribution (ci-après </w:t>
      </w:r>
      <w:r w:rsidR="0076712A" w:rsidRPr="002A16AA">
        <w:t>le GRD</w:t>
      </w:r>
      <w:r w:rsidRPr="002A16AA">
        <w:t>) et l'autorité concédante sur le territoire de laquelle est situé le site, pour autant qu'elles ne sont pas contraires aux dispositions législatives et réglementaires postérieures à la date de signature de la convention de concession ;</w:t>
      </w:r>
    </w:p>
    <w:p w14:paraId="0AE7EA5D" w14:textId="77777777" w:rsidR="00F97290" w:rsidRPr="00FA158B" w:rsidRDefault="00F97290" w:rsidP="009C3752">
      <w:r w:rsidRPr="00FA158B">
        <w:t>Vu les décisions du Comité de Règlement des Différends et des Sanctions (</w:t>
      </w:r>
      <w:proofErr w:type="spellStart"/>
      <w:r w:rsidRPr="00FA158B">
        <w:t>CoRDiS</w:t>
      </w:r>
      <w:proofErr w:type="spellEnd"/>
      <w:r w:rsidRPr="00FA158B">
        <w:t>) de la Commission de régulation de l’énergie en dates des 7 avril 2008, 22 octobre 2010 et 17 décembre 2012 ;</w:t>
      </w:r>
    </w:p>
    <w:p w14:paraId="7E16B37E" w14:textId="77777777" w:rsidR="00F97290" w:rsidRDefault="00F97290" w:rsidP="009C3752">
      <w:r w:rsidRPr="00FA158B">
        <w:t>Vu la décision de la Cour d’appel de Paris du 29 septembre 2011 ;</w:t>
      </w:r>
    </w:p>
    <w:p w14:paraId="2CDAF4CC" w14:textId="5A044740" w:rsidR="00442A7C" w:rsidRPr="00FA158B" w:rsidRDefault="00442A7C" w:rsidP="009C3752">
      <w:r>
        <w:rPr>
          <w:rFonts w:cs="Arial"/>
        </w:rPr>
        <w:t xml:space="preserve">Vu la </w:t>
      </w:r>
      <w:r>
        <w:t xml:space="preserve">loi informatique et des Libertés modifiée n°78-17 du 6 janvier 1978 et </w:t>
      </w:r>
      <w:r w:rsidR="00531988">
        <w:t>le</w:t>
      </w:r>
      <w:r>
        <w:t xml:space="preserve"> Règlement (UE) 2016/679 du Parlement européen et du Conseil du 27 avril 2016</w:t>
      </w:r>
      <w:r w:rsidR="004C733C">
        <w:t xml:space="preserve"> (RGPD)</w:t>
      </w:r>
      <w:r w:rsidR="00082BFF">
        <w:t> ;</w:t>
      </w:r>
    </w:p>
    <w:p w14:paraId="01DE5CB6" w14:textId="712E387D" w:rsidR="00F97290" w:rsidRPr="00FA158B" w:rsidRDefault="00F97290" w:rsidP="009C3752">
      <w:r w:rsidRPr="00FA158B">
        <w:t>Considérant que le Fournisseur est titulaire de l’autorisation d’exercice de l’achat d’électricité pour revente aux consommateurs fi</w:t>
      </w:r>
      <w:r w:rsidR="00547899" w:rsidRPr="00FA158B">
        <w:t>nals conformément à l’article L</w:t>
      </w:r>
      <w:r w:rsidRPr="00FA158B">
        <w:t>333-1 du code de l’énergie ;</w:t>
      </w:r>
    </w:p>
    <w:p w14:paraId="4A97546F" w14:textId="153A163D" w:rsidR="00F97290" w:rsidRPr="00FA158B" w:rsidRDefault="0076712A" w:rsidP="009C3752">
      <w:r>
        <w:t>Le GRD</w:t>
      </w:r>
      <w:r w:rsidR="00F97290" w:rsidRPr="00FA158B">
        <w:t xml:space="preserve"> a pour mission d'assurer le raccordement et l’accès des utilisateurs au Réseau Public de Distribution, dans des conditions objectives, transparentes et non discriminatoires.</w:t>
      </w:r>
    </w:p>
    <w:p w14:paraId="2A8F0783" w14:textId="7073DB54" w:rsidR="00F97290" w:rsidRPr="00FA158B" w:rsidRDefault="00F97290" w:rsidP="009C3752">
      <w:r w:rsidRPr="00FA158B">
        <w:t xml:space="preserve">Ce droit d'accès et de raccordement au Réseau Public de Distribution est mis en œuvre par la conclusion de contrats entre </w:t>
      </w:r>
      <w:r w:rsidR="0076712A">
        <w:t>le GRD</w:t>
      </w:r>
      <w:r w:rsidRPr="00FA158B">
        <w:t xml:space="preserve"> et les utilisateurs dudit réseau.</w:t>
      </w:r>
    </w:p>
    <w:p w14:paraId="4C1FE742" w14:textId="6C48003C" w:rsidR="00F97290" w:rsidRPr="00FA158B" w:rsidRDefault="002B3E0E" w:rsidP="009C3752">
      <w:r>
        <w:t>Conformément à l'article</w:t>
      </w:r>
      <w:r w:rsidR="00F97290" w:rsidRPr="00FA158B">
        <w:t xml:space="preserve"> L111-92 du code de l’énergie, </w:t>
      </w:r>
      <w:r w:rsidR="0076712A">
        <w:t>le GRD</w:t>
      </w:r>
      <w:r w:rsidR="00F97290" w:rsidRPr="00FA158B">
        <w:t xml:space="preserve"> conclut avec le Fournisseur qui le souhaite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w:t>
      </w:r>
      <w:r w:rsidR="0076712A">
        <w:t>le GRD</w:t>
      </w:r>
      <w:r w:rsidR="00F97290" w:rsidRPr="00FA158B">
        <w:t xml:space="preserve">. Il est toutefois garanti de bénéficier des mêmes droits à l’égard </w:t>
      </w:r>
      <w:r w:rsidR="0076712A">
        <w:t>du GRD</w:t>
      </w:r>
      <w:r w:rsidR="00F97290" w:rsidRPr="00FA158B">
        <w:t xml:space="preserve"> que s’il avait directement conclu un Contrat d’Accès au Réseau public de Distribution (CARD) avec ce dernier.</w:t>
      </w:r>
    </w:p>
    <w:p w14:paraId="7EF7B16E" w14:textId="77777777" w:rsidR="00F97290" w:rsidRPr="00FA158B" w:rsidRDefault="00F97290" w:rsidP="009C3752"/>
    <w:p w14:paraId="7F5EBCB9" w14:textId="2640ADF2" w:rsidR="00F97290" w:rsidRPr="00FA158B" w:rsidRDefault="00F97290" w:rsidP="009C3752">
      <w:r w:rsidRPr="00FA158B">
        <w:rPr>
          <w:i/>
        </w:rPr>
        <w:t xml:space="preserve">Nota : Les mots ou groupes de mots commençant par une majuscule sont définis au chapitre </w:t>
      </w:r>
      <w:r w:rsidR="00983D6B" w:rsidRPr="00FA158B">
        <w:fldChar w:fldCharType="begin"/>
      </w:r>
      <w:r w:rsidR="00983D6B" w:rsidRPr="00FA158B">
        <w:instrText xml:space="preserve"> REF _Ref72286377 \r \h  \* MERGEFORMAT </w:instrText>
      </w:r>
      <w:r w:rsidR="00983D6B" w:rsidRPr="00FA158B">
        <w:fldChar w:fldCharType="separate"/>
      </w:r>
      <w:r w:rsidR="005E7E99" w:rsidRPr="00DA0A2B">
        <w:rPr>
          <w:i/>
        </w:rPr>
        <w:t>11</w:t>
      </w:r>
      <w:r w:rsidR="00983D6B" w:rsidRPr="00FA158B">
        <w:fldChar w:fldCharType="end"/>
      </w:r>
      <w:r w:rsidRPr="00FA158B">
        <w:rPr>
          <w:i/>
        </w:rPr>
        <w:t xml:space="preserve"> des présentes dispositions générales</w:t>
      </w:r>
      <w:r w:rsidRPr="00FA158B">
        <w:t>.</w:t>
      </w:r>
    </w:p>
    <w:p w14:paraId="707AF778" w14:textId="77777777" w:rsidR="00F97290" w:rsidRPr="00FA158B" w:rsidRDefault="00F97290" w:rsidP="009C3752"/>
    <w:p w14:paraId="3874B6F2" w14:textId="77777777" w:rsidR="00E33246" w:rsidRPr="00FA158B" w:rsidRDefault="00E33246" w:rsidP="009C3752">
      <w:pPr>
        <w:rPr>
          <w:rFonts w:ascii="Calibri" w:eastAsiaTheme="minorEastAsia" w:hAnsi="Calibri" w:cstheme="minorBidi"/>
          <w:color w:val="005EB8" w:themeColor="background2"/>
          <w:sz w:val="24"/>
        </w:rPr>
      </w:pPr>
      <w:bookmarkStart w:id="1" w:name="_Toc472522868"/>
      <w:r w:rsidRPr="00FA158B">
        <w:br w:type="page"/>
      </w:r>
    </w:p>
    <w:p w14:paraId="709B4198" w14:textId="77777777" w:rsidR="00F97290" w:rsidRPr="00FA158B" w:rsidRDefault="00F97290" w:rsidP="00DC643C">
      <w:pPr>
        <w:pStyle w:val="Titre1"/>
      </w:pPr>
      <w:bookmarkStart w:id="2" w:name="_Toc21422386"/>
      <w:r w:rsidRPr="00FA158B">
        <w:lastRenderedPageBreak/>
        <w:t>Cadre général de l’accès au Réseau Public de Distribution</w:t>
      </w:r>
      <w:bookmarkEnd w:id="1"/>
      <w:bookmarkEnd w:id="2"/>
    </w:p>
    <w:p w14:paraId="0F3062B3" w14:textId="77777777" w:rsidR="00F97290" w:rsidRPr="00FA158B" w:rsidRDefault="00F97290" w:rsidP="009C3752">
      <w:pPr>
        <w:pStyle w:val="Titre2"/>
      </w:pPr>
      <w:bookmarkStart w:id="3" w:name="_Ref66160872"/>
      <w:bookmarkStart w:id="4" w:name="_Toc66163530"/>
      <w:bookmarkStart w:id="5" w:name="_Toc472522869"/>
      <w:bookmarkStart w:id="6" w:name="_Toc21422387"/>
      <w:bookmarkStart w:id="7" w:name="_Ref57801160"/>
      <w:bookmarkStart w:id="8" w:name="_Ref57801191"/>
      <w:bookmarkStart w:id="9" w:name="_Ref57801230"/>
      <w:bookmarkStart w:id="10" w:name="_Ref34820998"/>
      <w:bookmarkStart w:id="11" w:name="_Ref41711718"/>
      <w:bookmarkStart w:id="12" w:name="_Ref41712379"/>
      <w:bookmarkStart w:id="13" w:name="_Ref41712523"/>
      <w:bookmarkStart w:id="14" w:name="_Ref41712580"/>
      <w:bookmarkStart w:id="15" w:name="_Ref52705001"/>
      <w:bookmarkStart w:id="16" w:name="_Ref52705361"/>
      <w:bookmarkStart w:id="17" w:name="_Ref52705979"/>
      <w:bookmarkStart w:id="18" w:name="_Ref52706171"/>
      <w:bookmarkStart w:id="19" w:name="_Ref52706238"/>
      <w:r w:rsidRPr="00FA158B">
        <w:t>Principes</w:t>
      </w:r>
      <w:bookmarkEnd w:id="3"/>
      <w:bookmarkEnd w:id="4"/>
      <w:bookmarkEnd w:id="5"/>
      <w:bookmarkEnd w:id="6"/>
    </w:p>
    <w:p w14:paraId="4E4737E1" w14:textId="77777777" w:rsidR="00F97290" w:rsidRPr="00FA158B" w:rsidRDefault="00F97290" w:rsidP="009C3752">
      <w:r w:rsidRPr="00FA158B">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HTA au RPD. </w:t>
      </w:r>
    </w:p>
    <w:p w14:paraId="1D379E30" w14:textId="4A38A6DB" w:rsidR="00F97290" w:rsidRPr="00FA158B" w:rsidRDefault="00F97290" w:rsidP="009C3752">
      <w:pPr>
        <w:rPr>
          <w:rFonts w:cs="Arial"/>
        </w:rPr>
      </w:pPr>
      <w:r w:rsidRPr="00FA158B">
        <w:t xml:space="preserve">Ces dispositions générales sont incluses dans le contrat dénommé par l’usage « Contrat GRD-F », conclu entre </w:t>
      </w:r>
      <w:r w:rsidR="0076712A">
        <w:t>le GRD</w:t>
      </w:r>
      <w:r w:rsidRPr="00FA158B">
        <w:t xml:space="preserve"> et le Fournisseur, afin de permettre l’acheminement effectif de l’énergie.</w:t>
      </w:r>
      <w:r w:rsidRPr="00FA158B">
        <w:rPr>
          <w:sz w:val="16"/>
          <w:szCs w:val="16"/>
        </w:rPr>
        <w:t xml:space="preserve"> </w:t>
      </w:r>
      <w:r w:rsidRPr="00FA158B">
        <w:rPr>
          <w:rFonts w:cs="Arial"/>
        </w:rPr>
        <w:t xml:space="preserve">Les clauses du contrat GRD-F réglant les relations entre le Fournisseur et </w:t>
      </w:r>
      <w:r w:rsidR="0076712A">
        <w:rPr>
          <w:rFonts w:cs="Arial"/>
        </w:rPr>
        <w:t>le GRD</w:t>
      </w:r>
      <w:r w:rsidRPr="00FA158B">
        <w:rPr>
          <w:rFonts w:cs="Arial"/>
        </w:rPr>
        <w:t xml:space="preserve"> doivent être reproduites en annexe du</w:t>
      </w:r>
      <w:r w:rsidRPr="00FA158B">
        <w:rPr>
          <w:rFonts w:cs="Arial"/>
          <w:bCs/>
        </w:rPr>
        <w:t xml:space="preserve"> Contrat Unique du Client, </w:t>
      </w:r>
      <w:r w:rsidRPr="00FA158B">
        <w:rPr>
          <w:rFonts w:cs="Arial"/>
        </w:rPr>
        <w:t>selon des modalités permettant une consultation simple et complète pour le Client</w:t>
      </w:r>
      <w:r w:rsidRPr="00FA158B">
        <w:rPr>
          <w:rFonts w:cs="Arial"/>
          <w:bCs/>
        </w:rPr>
        <w:t>. Cette reproduction est assurée au moyen de l’annexe 1 bis pour le Domaine de Tension HTA.</w:t>
      </w:r>
    </w:p>
    <w:p w14:paraId="79BC5D0B" w14:textId="7A65EAC9" w:rsidR="00F97290" w:rsidRPr="00FA158B" w:rsidRDefault="00F97290" w:rsidP="009C3752">
      <w:r w:rsidRPr="00FA158B">
        <w:t xml:space="preserve">Lorsqu'un Client signe un Contrat Unique, celui-ci annule et remplace tous les contrats, lettres, propositions, offres et conventions remis, échangés ou signés entre </w:t>
      </w:r>
      <w:r w:rsidR="0076712A">
        <w:t>le GRD</w:t>
      </w:r>
      <w:r w:rsidRPr="00FA158B">
        <w:t xml:space="preserve"> et le Client antérieurement à la signature du Contrat Unique et portant sur le même objet.</w:t>
      </w:r>
    </w:p>
    <w:p w14:paraId="4A4A6562" w14:textId="44E5D7EE" w:rsidR="00F97290" w:rsidRPr="00FA158B" w:rsidRDefault="00F97290" w:rsidP="009C3752">
      <w:pPr>
        <w:rPr>
          <w:color w:val="005EB8" w:themeColor="background2"/>
        </w:rPr>
      </w:pPr>
      <w:r w:rsidRPr="00FA158B">
        <w:t xml:space="preserve">Le Client est informé, préalablement à la conclusion du Contrat Unique, de l'existence des </w:t>
      </w:r>
      <w:r w:rsidR="00CE16AE">
        <w:t>Référentiel</w:t>
      </w:r>
      <w:r w:rsidRPr="00FA158B">
        <w:t xml:space="preserve">s technique et clientèle </w:t>
      </w:r>
      <w:r w:rsidR="0076712A">
        <w:t>du GRD</w:t>
      </w:r>
      <w:r w:rsidR="001C749B" w:rsidRPr="00FA158B">
        <w:t xml:space="preserve"> </w:t>
      </w:r>
      <w:r w:rsidRPr="00FA158B">
        <w:t xml:space="preserve">et de son Catalogue des prestations. Ces </w:t>
      </w:r>
      <w:r w:rsidR="00CE16AE">
        <w:t>Référentiel</w:t>
      </w:r>
      <w:r w:rsidRPr="00FA158B">
        <w:t xml:space="preserve">s exposent les dispositions réglementaires et les règles </w:t>
      </w:r>
      <w:r w:rsidRPr="00290499">
        <w:t xml:space="preserve">complémentaires </w:t>
      </w:r>
      <w:r w:rsidR="0076712A" w:rsidRPr="00290499">
        <w:t>que le GRD</w:t>
      </w:r>
      <w:r w:rsidRPr="00290499">
        <w:t xml:space="preserve"> applique à l'ensemble des utilisateurs pour leur assurer l'accès et l’utilisation du Réseau Public de Distribution. Les </w:t>
      </w:r>
      <w:r w:rsidR="00CE16AE" w:rsidRPr="00290499">
        <w:t>Référentiel</w:t>
      </w:r>
      <w:r w:rsidRPr="00290499">
        <w:t xml:space="preserve">s sont accessibles sur le </w:t>
      </w:r>
      <w:r w:rsidR="00CE16AE" w:rsidRPr="00290499">
        <w:t>Site</w:t>
      </w:r>
      <w:r w:rsidRPr="00290499">
        <w:t xml:space="preserve"> Internet </w:t>
      </w:r>
      <w:r w:rsidR="0075789B" w:rsidRPr="00290499">
        <w:t>du GRD</w:t>
      </w:r>
      <w:r w:rsidR="002A16AA" w:rsidRPr="00290499">
        <w:t xml:space="preserve"> </w:t>
      </w:r>
      <w:hyperlink r:id="rId16" w:history="1">
        <w:r w:rsidR="002A16AA" w:rsidRPr="00290499">
          <w:rPr>
            <w:rStyle w:val="Lienhypertexte"/>
          </w:rPr>
          <w:t>https://tignelec.com</w:t>
        </w:r>
      </w:hyperlink>
      <w:r w:rsidR="002A16AA" w:rsidRPr="00290499">
        <w:t xml:space="preserve"> </w:t>
      </w:r>
      <w:r w:rsidRPr="00290499">
        <w:t xml:space="preserve">. L’état des publications des règles du </w:t>
      </w:r>
      <w:r w:rsidR="00CE16AE" w:rsidRPr="00290499">
        <w:t>Référentiel</w:t>
      </w:r>
      <w:r w:rsidRPr="00290499">
        <w:t xml:space="preserve"> clientèle </w:t>
      </w:r>
      <w:r w:rsidR="0075789B" w:rsidRPr="00290499">
        <w:t xml:space="preserve">du GRD </w:t>
      </w:r>
      <w:r w:rsidRPr="00290499">
        <w:t>est accessible à l’adresse</w:t>
      </w:r>
      <w:r w:rsidR="002A16AA" w:rsidRPr="00290499">
        <w:t xml:space="preserve"> </w:t>
      </w:r>
      <w:hyperlink r:id="rId17" w:history="1">
        <w:r w:rsidR="002A16AA" w:rsidRPr="00290499">
          <w:rPr>
            <w:rStyle w:val="Lienhypertexte"/>
          </w:rPr>
          <w:t>accueil@tig.regielec.fr</w:t>
        </w:r>
      </w:hyperlink>
      <w:r w:rsidR="002A16AA" w:rsidRPr="00290499">
        <w:t xml:space="preserve"> .</w:t>
      </w:r>
    </w:p>
    <w:p w14:paraId="23203A25" w14:textId="67EC4CD5" w:rsidR="00C47047" w:rsidRPr="00FA158B" w:rsidRDefault="00F97290" w:rsidP="00C47047">
      <w:r w:rsidRPr="00FA158B">
        <w:t xml:space="preserve">Les procédures et prestations relatives à l’accès et à l’utilisation du RPD sont réalisées selon les modalités définies dans les </w:t>
      </w:r>
      <w:r w:rsidR="00CE16AE">
        <w:t>Référentiel</w:t>
      </w:r>
      <w:r w:rsidRPr="00FA158B">
        <w:t xml:space="preserve">s </w:t>
      </w:r>
      <w:r w:rsidR="0076712A">
        <w:t>du GRD</w:t>
      </w:r>
      <w:r w:rsidRPr="00FA158B">
        <w:t xml:space="preserve"> et dans son Catalogue des prestations.</w:t>
      </w:r>
      <w:r w:rsidR="00C47047" w:rsidRPr="00FA158B">
        <w:t xml:space="preserve"> En cas de contradiction entre les </w:t>
      </w:r>
      <w:r w:rsidR="00CE16AE">
        <w:t>Référentiel</w:t>
      </w:r>
      <w:r w:rsidR="00C47047" w:rsidRPr="00FA158B">
        <w:t>s et le Catalogue des prestations d’une part, et la présente annexe du contrat GRD-F d’autre part, les dispositions de la présente annexe prévaudront.</w:t>
      </w:r>
    </w:p>
    <w:p w14:paraId="4B7D3509" w14:textId="65D65FA1" w:rsidR="00F97290" w:rsidRPr="00FA158B" w:rsidRDefault="00F97290" w:rsidP="009C3752">
      <w:r w:rsidRPr="00FA158B">
        <w:t xml:space="preserve">Le Client bénéficie de la possibilité de se prévaloir d’un droit contractuel direct à l’encontre </w:t>
      </w:r>
      <w:r w:rsidR="0076712A">
        <w:t>du GRD</w:t>
      </w:r>
      <w:r w:rsidRPr="00FA158B">
        <w:t xml:space="preserve"> pour les engagements </w:t>
      </w:r>
      <w:r w:rsidR="0076712A">
        <w:t>du GRD</w:t>
      </w:r>
      <w:r w:rsidRPr="00FA158B">
        <w:t xml:space="preserve"> vis-à-vis </w:t>
      </w:r>
      <w:proofErr w:type="gramStart"/>
      <w:r w:rsidRPr="00FA158B">
        <w:t>du Client contenus</w:t>
      </w:r>
      <w:proofErr w:type="gramEnd"/>
      <w:r w:rsidRPr="00FA158B">
        <w:t xml:space="preserve"> dans le contrat GRD-F.</w:t>
      </w:r>
    </w:p>
    <w:p w14:paraId="1D686700" w14:textId="19FF6600" w:rsidR="00F97290" w:rsidRPr="00FA158B" w:rsidRDefault="00F97290" w:rsidP="009C3752">
      <w:r w:rsidRPr="00FA158B">
        <w:t>Outre les présentes dispositions générales, les modalités relatives au raccordement et à l’exploitation sont détaillées dans de</w:t>
      </w:r>
      <w:r w:rsidR="004C733C">
        <w:t>s</w:t>
      </w:r>
      <w:r w:rsidRPr="00FA158B">
        <w:t xml:space="preserve"> conventions distinctes</w:t>
      </w:r>
      <w:r w:rsidR="00A94769" w:rsidRPr="00FA158B">
        <w:t xml:space="preserve"> </w:t>
      </w:r>
      <w:r w:rsidRPr="00FA158B">
        <w:t>:</w:t>
      </w:r>
    </w:p>
    <w:p w14:paraId="49441E7A" w14:textId="13DA9A5B" w:rsidR="00F97290" w:rsidRPr="00FA158B" w:rsidRDefault="00F97290" w:rsidP="00D801A4">
      <w:pPr>
        <w:pStyle w:val="SPuce"/>
      </w:pPr>
      <w:proofErr w:type="gramStart"/>
      <w:r w:rsidRPr="00FA158B">
        <w:t>la</w:t>
      </w:r>
      <w:proofErr w:type="gramEnd"/>
      <w:r w:rsidRPr="00FA158B">
        <w:t xml:space="preserve"> Convention de Raccordement, lorsqu’il en existe une, qui est conclue entre </w:t>
      </w:r>
      <w:r w:rsidR="0076712A">
        <w:t>le GRD</w:t>
      </w:r>
      <w:r w:rsidRPr="00FA158B">
        <w:t xml:space="preserve"> et le demandeur du raccordement ou toute personne dûment habilitée. </w:t>
      </w:r>
    </w:p>
    <w:p w14:paraId="5551FFFE" w14:textId="4460599E" w:rsidR="00F97290" w:rsidRPr="00FA158B" w:rsidRDefault="00F97290" w:rsidP="00D801A4">
      <w:pPr>
        <w:pStyle w:val="SPuce"/>
      </w:pPr>
      <w:proofErr w:type="gramStart"/>
      <w:r w:rsidRPr="00FA158B">
        <w:t>la</w:t>
      </w:r>
      <w:proofErr w:type="gramEnd"/>
      <w:r w:rsidRPr="00FA158B">
        <w:t xml:space="preserve"> Convention d'Exploitation, lorsqu’il en existe une, qui est conclue entre </w:t>
      </w:r>
      <w:r w:rsidR="0076712A">
        <w:t>le GRD</w:t>
      </w:r>
      <w:r w:rsidRPr="00FA158B">
        <w:t xml:space="preserve"> et le chef de l'établissement desservi par le RPD au sens du décret du 14 novembre 1988. La signature de la Convention d'Exploitation ne peut en aucun cas être déléguée par le chef d'établissement.</w:t>
      </w:r>
    </w:p>
    <w:p w14:paraId="45D68CAA" w14:textId="77777777" w:rsidR="00F97290" w:rsidRPr="00FA158B" w:rsidRDefault="00F97290" w:rsidP="009C3752">
      <w:pPr>
        <w:rPr>
          <w:rFonts w:ascii="Calibri" w:hAnsi="Calibri"/>
          <w:sz w:val="18"/>
        </w:rPr>
      </w:pPr>
      <w:r w:rsidRPr="00FA158B">
        <w:t>Les articles ci-dessous listent les missions principales des différents acteurs relativement à l’accès et à l’utilisation du RPD.</w:t>
      </w:r>
      <w:r w:rsidRPr="00FA158B">
        <w:rPr>
          <w:rFonts w:ascii="Calibri" w:hAnsi="Calibri"/>
          <w:sz w:val="18"/>
        </w:rPr>
        <w:t xml:space="preserve"> </w:t>
      </w:r>
    </w:p>
    <w:p w14:paraId="52DF23FB" w14:textId="3F5AE3F5" w:rsidR="00F97290" w:rsidRPr="00FA158B" w:rsidRDefault="0076712A" w:rsidP="009C3752">
      <w:pPr>
        <w:pStyle w:val="Titre2"/>
      </w:pPr>
      <w:bookmarkStart w:id="20" w:name="_Toc66163531"/>
      <w:bookmarkStart w:id="21" w:name="_Toc472522870"/>
      <w:bookmarkStart w:id="22" w:name="_Toc21422388"/>
      <w:r>
        <w:t>Le GRD</w:t>
      </w:r>
      <w:r w:rsidR="00F97290" w:rsidRPr="00FA158B">
        <w:t xml:space="preserve"> et l’accès au Réseau Public de Distribution</w:t>
      </w:r>
      <w:bookmarkEnd w:id="20"/>
      <w:bookmarkEnd w:id="21"/>
      <w:bookmarkEnd w:id="22"/>
    </w:p>
    <w:p w14:paraId="5574464C" w14:textId="1CE7F484" w:rsidR="00F97290" w:rsidRPr="00FA158B" w:rsidRDefault="00F97290" w:rsidP="009C3752">
      <w:r w:rsidRPr="00FA158B">
        <w:t xml:space="preserve">Dans le cadre des présentes dispositions générales, </w:t>
      </w:r>
      <w:r w:rsidR="0076712A">
        <w:t>le GRD</w:t>
      </w:r>
      <w:r w:rsidRPr="00FA158B">
        <w:t xml:space="preserve"> s’engage, pour chaque Point de Livraison faisant partie du Périmètre de Facturation, tant à l’égard du Fournisseur, qu’à celui du Client, à :</w:t>
      </w:r>
    </w:p>
    <w:p w14:paraId="68B9C3F3" w14:textId="77777777" w:rsidR="00F97290" w:rsidRPr="00FA158B" w:rsidRDefault="00F97290" w:rsidP="009C3752">
      <w:pPr>
        <w:pStyle w:val="SPuce"/>
      </w:pPr>
      <w:proofErr w:type="gramStart"/>
      <w:r w:rsidRPr="00FA158B">
        <w:t>garantir</w:t>
      </w:r>
      <w:proofErr w:type="gramEnd"/>
      <w:r w:rsidRPr="00FA158B">
        <w:t xml:space="preserve"> un accès non discriminatoire au RPD ;</w:t>
      </w:r>
    </w:p>
    <w:p w14:paraId="399F2229" w14:textId="77777777" w:rsidR="00F97290" w:rsidRPr="00FA158B" w:rsidRDefault="00F97290" w:rsidP="009C3752">
      <w:pPr>
        <w:pStyle w:val="SPuce"/>
      </w:pPr>
      <w:proofErr w:type="gramStart"/>
      <w:r w:rsidRPr="00FA158B">
        <w:t>acheminer</w:t>
      </w:r>
      <w:proofErr w:type="gramEnd"/>
      <w:r w:rsidRPr="00FA158B">
        <w:t xml:space="preserve"> l’énergie électrique jusqu’au Point de Livraison désigné par le Fournisseur ;</w:t>
      </w:r>
    </w:p>
    <w:p w14:paraId="28EE536A" w14:textId="77777777" w:rsidR="00F97290" w:rsidRPr="00FA158B" w:rsidRDefault="00F97290" w:rsidP="009C3752">
      <w:pPr>
        <w:pStyle w:val="SPuce"/>
      </w:pPr>
      <w:proofErr w:type="gramStart"/>
      <w:r w:rsidRPr="00FA158B">
        <w:t>assurer</w:t>
      </w:r>
      <w:proofErr w:type="gramEnd"/>
      <w:r w:rsidRPr="00FA158B">
        <w:t xml:space="preserve"> l’accueil dépannage et les interventions nécessaires au dépannage ;</w:t>
      </w:r>
    </w:p>
    <w:p w14:paraId="5A02DF26" w14:textId="77777777" w:rsidR="00F97290" w:rsidRPr="00FA158B" w:rsidRDefault="00F97290" w:rsidP="009C3752">
      <w:pPr>
        <w:pStyle w:val="SPuce"/>
      </w:pPr>
      <w:proofErr w:type="gramStart"/>
      <w:r w:rsidRPr="00FA158B">
        <w:t>respecter</w:t>
      </w:r>
      <w:proofErr w:type="gramEnd"/>
      <w:r w:rsidRPr="00FA158B">
        <w:t xml:space="preserve"> certains standards de qualité définissant l’onde électrique en matière de continuité et de qualité, tels que mentionnés au contrat GRD-F ;</w:t>
      </w:r>
    </w:p>
    <w:p w14:paraId="3B37A63F" w14:textId="77777777" w:rsidR="00F97290" w:rsidRPr="00FA158B" w:rsidRDefault="00F97290" w:rsidP="009C3752">
      <w:pPr>
        <w:pStyle w:val="SPuce"/>
      </w:pPr>
      <w:proofErr w:type="gramStart"/>
      <w:r w:rsidRPr="00FA158B">
        <w:t>assurer</w:t>
      </w:r>
      <w:proofErr w:type="gramEnd"/>
      <w:r w:rsidRPr="00FA158B">
        <w:t xml:space="preserve"> les missions de comptage dont elle est légalement investie ;</w:t>
      </w:r>
    </w:p>
    <w:p w14:paraId="60F198E0" w14:textId="44FE75AD" w:rsidR="00F97290" w:rsidRPr="00FA158B" w:rsidRDefault="00F97290" w:rsidP="009C3752">
      <w:pPr>
        <w:pStyle w:val="SPuce"/>
      </w:pPr>
      <w:proofErr w:type="gramStart"/>
      <w:r w:rsidRPr="00FA158B">
        <w:t>réaliser</w:t>
      </w:r>
      <w:proofErr w:type="gramEnd"/>
      <w:r w:rsidRPr="00FA158B">
        <w:t xml:space="preserve"> les interventions techniques selon les modalités techniques et financières des </w:t>
      </w:r>
      <w:r w:rsidR="00CE16AE">
        <w:t>Référentiel</w:t>
      </w:r>
      <w:r w:rsidRPr="00FA158B">
        <w:t xml:space="preserve">s </w:t>
      </w:r>
      <w:r w:rsidR="0076712A">
        <w:t>du GRD</w:t>
      </w:r>
      <w:r w:rsidRPr="00FA158B">
        <w:t xml:space="preserve"> et de son Catalogue des prestations ;</w:t>
      </w:r>
    </w:p>
    <w:p w14:paraId="2F82A8FC" w14:textId="77777777" w:rsidR="00F97290" w:rsidRPr="00FA158B" w:rsidRDefault="00F97290" w:rsidP="009C3752">
      <w:pPr>
        <w:pStyle w:val="SPuce"/>
      </w:pPr>
      <w:proofErr w:type="gramStart"/>
      <w:r w:rsidRPr="00FA158B">
        <w:t>assurer</w:t>
      </w:r>
      <w:proofErr w:type="gramEnd"/>
      <w:r w:rsidRPr="00FA158B">
        <w:t xml:space="preserve"> </w:t>
      </w:r>
      <w:r w:rsidR="00561D82" w:rsidRPr="00FA158B">
        <w:t xml:space="preserve">la protection des informations commercialement sensibles et des données à caractère personnel conformément à l’article </w:t>
      </w:r>
      <w:r w:rsidR="00983D6B" w:rsidRPr="00FA158B">
        <w:fldChar w:fldCharType="begin"/>
      </w:r>
      <w:r w:rsidR="00983D6B" w:rsidRPr="00FA158B">
        <w:instrText xml:space="preserve"> REF _Ref473130061 \r \h  \* MERGEFORMAT </w:instrText>
      </w:r>
      <w:r w:rsidR="00983D6B" w:rsidRPr="00FA158B">
        <w:fldChar w:fldCharType="separate"/>
      </w:r>
      <w:r w:rsidR="005E7E99">
        <w:t>1.6</w:t>
      </w:r>
      <w:r w:rsidR="00983D6B" w:rsidRPr="00FA158B">
        <w:fldChar w:fldCharType="end"/>
      </w:r>
      <w:r w:rsidR="00331D96" w:rsidRPr="00FA158B">
        <w:t xml:space="preserve"> </w:t>
      </w:r>
      <w:r w:rsidR="00561D82" w:rsidRPr="00FA158B">
        <w:t>de la présente annexe</w:t>
      </w:r>
      <w:r w:rsidR="00331D96" w:rsidRPr="00FA158B">
        <w:t xml:space="preserve"> </w:t>
      </w:r>
      <w:r w:rsidRPr="00FA158B">
        <w:t>;</w:t>
      </w:r>
    </w:p>
    <w:p w14:paraId="42999CB2" w14:textId="77777777" w:rsidR="00F97290" w:rsidRPr="00FA158B" w:rsidRDefault="00F97290" w:rsidP="009C3752">
      <w:pPr>
        <w:pStyle w:val="SPuce"/>
      </w:pPr>
      <w:proofErr w:type="gramStart"/>
      <w:r w:rsidRPr="00FA158B">
        <w:lastRenderedPageBreak/>
        <w:t>assurer</w:t>
      </w:r>
      <w:proofErr w:type="gramEnd"/>
      <w:r w:rsidRPr="00FA158B">
        <w:t xml:space="preserve"> la sécurité des tiers relativement au RPD ;</w:t>
      </w:r>
    </w:p>
    <w:p w14:paraId="1A1D27A4" w14:textId="7F3C95E5" w:rsidR="00F97290" w:rsidRPr="008212F8" w:rsidRDefault="00F97290" w:rsidP="009C3752">
      <w:pPr>
        <w:pStyle w:val="SPuce"/>
      </w:pPr>
      <w:proofErr w:type="gramStart"/>
      <w:r w:rsidRPr="008212F8">
        <w:t>informer</w:t>
      </w:r>
      <w:proofErr w:type="gramEnd"/>
      <w:r w:rsidRPr="008212F8">
        <w:t xml:space="preserve"> </w:t>
      </w:r>
      <w:r w:rsidR="00605FC5" w:rsidRPr="008212F8">
        <w:t xml:space="preserve">le Fournisseur et </w:t>
      </w:r>
      <w:r w:rsidRPr="008212F8">
        <w:t>les Clients préalablement - dans la mesure du possible - aux coupures pour travaux ou pour raison de sécurité, conformément au contrat GRD-F ;</w:t>
      </w:r>
    </w:p>
    <w:p w14:paraId="6B868349" w14:textId="77777777" w:rsidR="00F97290" w:rsidRPr="00FA158B" w:rsidRDefault="00F97290" w:rsidP="009C3752">
      <w:pPr>
        <w:pStyle w:val="SPuce"/>
      </w:pPr>
      <w:proofErr w:type="gramStart"/>
      <w:r w:rsidRPr="00FA158B">
        <w:t>informer</w:t>
      </w:r>
      <w:proofErr w:type="gramEnd"/>
      <w:r w:rsidRPr="00FA158B">
        <w:t xml:space="preserve"> le Fournisseur et les Clients lors des coupures pour incident affectant le RPD ;</w:t>
      </w:r>
    </w:p>
    <w:p w14:paraId="22677704" w14:textId="161539D8" w:rsidR="00F97290" w:rsidRPr="008212F8" w:rsidRDefault="00F97290" w:rsidP="009C3752">
      <w:pPr>
        <w:pStyle w:val="SPuce"/>
      </w:pPr>
      <w:proofErr w:type="gramStart"/>
      <w:r w:rsidRPr="008212F8">
        <w:t>informer</w:t>
      </w:r>
      <w:proofErr w:type="gramEnd"/>
      <w:r w:rsidR="00723B2E" w:rsidRPr="008212F8">
        <w:rPr>
          <w:color w:val="auto"/>
        </w:rPr>
        <w:t xml:space="preserve"> </w:t>
      </w:r>
      <w:r w:rsidRPr="008212F8">
        <w:t>les Clients</w:t>
      </w:r>
      <w:r w:rsidR="004C733C" w:rsidRPr="008212F8">
        <w:t xml:space="preserve"> </w:t>
      </w:r>
      <w:r w:rsidRPr="008212F8">
        <w:t>alimentés en HTA sur les conditions de qualité et de continuité du Site selon les modalités indiquées dans les présentes dispositions générales </w:t>
      </w:r>
      <w:bookmarkStart w:id="23" w:name="_Hlk58511631"/>
      <w:r w:rsidR="00723B2E" w:rsidRPr="008212F8">
        <w:t>lorsque ces derniers en font la demande</w:t>
      </w:r>
      <w:bookmarkEnd w:id="23"/>
      <w:r w:rsidRPr="008212F8">
        <w:t>;</w:t>
      </w:r>
    </w:p>
    <w:p w14:paraId="764D92B7" w14:textId="77777777" w:rsidR="00F97290" w:rsidRPr="00FA158B" w:rsidRDefault="00F97290" w:rsidP="009C3752">
      <w:pPr>
        <w:pStyle w:val="SPuce"/>
      </w:pPr>
      <w:proofErr w:type="gramStart"/>
      <w:r w:rsidRPr="008212F8">
        <w:t>traiter</w:t>
      </w:r>
      <w:proofErr w:type="gramEnd"/>
      <w:r w:rsidRPr="008212F8">
        <w:t xml:space="preserve"> les réclamations relatives à l’accès et à l’utilisation du RPD qui lui sont adressées</w:t>
      </w:r>
      <w:r w:rsidRPr="00FA158B">
        <w:t> ;</w:t>
      </w:r>
    </w:p>
    <w:p w14:paraId="19027483" w14:textId="70F54E81" w:rsidR="00F97290" w:rsidRPr="00FA158B" w:rsidRDefault="00F97290" w:rsidP="009C3752">
      <w:pPr>
        <w:pStyle w:val="SPuce"/>
      </w:pPr>
      <w:proofErr w:type="gramStart"/>
      <w:r w:rsidRPr="00FA158B">
        <w:t>indemniser</w:t>
      </w:r>
      <w:proofErr w:type="gramEnd"/>
      <w:r w:rsidRPr="00FA158B">
        <w:t xml:space="preserve"> les Clients, dès lors que la responsabilité </w:t>
      </w:r>
      <w:r w:rsidR="0076712A">
        <w:t>du GRD</w:t>
      </w:r>
      <w:r w:rsidRPr="00FA158B">
        <w:t xml:space="preserve"> est engagée au titre de l’article </w:t>
      </w:r>
      <w:r w:rsidR="00983D6B" w:rsidRPr="00FA158B">
        <w:fldChar w:fldCharType="begin"/>
      </w:r>
      <w:r w:rsidR="00983D6B" w:rsidRPr="00FA158B">
        <w:instrText xml:space="preserve"> REF _Ref209237259 \r \h  \* MERGEFORMAT </w:instrText>
      </w:r>
      <w:r w:rsidR="00983D6B" w:rsidRPr="00FA158B">
        <w:fldChar w:fldCharType="separate"/>
      </w:r>
      <w:r w:rsidR="005E7E99">
        <w:t>9.1</w:t>
      </w:r>
      <w:r w:rsidR="00983D6B" w:rsidRPr="00FA158B">
        <w:fldChar w:fldCharType="end"/>
      </w:r>
      <w:r w:rsidRPr="00FA158B">
        <w:t xml:space="preserve"> de la présente annexe</w:t>
      </w:r>
      <w:r w:rsidR="00A94769" w:rsidRPr="00FA158B">
        <w:t xml:space="preserve"> </w:t>
      </w:r>
      <w:r w:rsidRPr="00FA158B">
        <w:t>;</w:t>
      </w:r>
    </w:p>
    <w:p w14:paraId="0E3C8D26" w14:textId="77777777" w:rsidR="00F97290" w:rsidRPr="00FA158B" w:rsidRDefault="00F97290" w:rsidP="009C3752">
      <w:pPr>
        <w:pStyle w:val="SPuce"/>
      </w:pPr>
      <w:proofErr w:type="gramStart"/>
      <w:r w:rsidRPr="00FA158B">
        <w:t>informer</w:t>
      </w:r>
      <w:proofErr w:type="gramEnd"/>
      <w:r w:rsidRPr="00FA158B">
        <w:t xml:space="preserve"> le Client en cas de défaillance de la part du Fournisseur, selon les dispositions réglementaires applicables ;</w:t>
      </w:r>
    </w:p>
    <w:p w14:paraId="43FFB030" w14:textId="77777777" w:rsidR="00F97290" w:rsidRPr="00FA158B" w:rsidRDefault="00F97290" w:rsidP="009C3752">
      <w:pPr>
        <w:pStyle w:val="SPuce"/>
      </w:pPr>
      <w:proofErr w:type="gramStart"/>
      <w:r w:rsidRPr="00FA158B">
        <w:t>entretenir</w:t>
      </w:r>
      <w:proofErr w:type="gramEnd"/>
      <w:r w:rsidRPr="00FA158B">
        <w:t xml:space="preserve"> le RPD ;</w:t>
      </w:r>
    </w:p>
    <w:p w14:paraId="431702EB" w14:textId="0DD190D8" w:rsidR="00F97290" w:rsidRPr="00FA158B" w:rsidRDefault="00F97290" w:rsidP="009C3752">
      <w:pPr>
        <w:pStyle w:val="SPuce"/>
      </w:pPr>
      <w:proofErr w:type="gramStart"/>
      <w:r w:rsidRPr="00FA158B">
        <w:t>développer</w:t>
      </w:r>
      <w:proofErr w:type="gramEnd"/>
      <w:r w:rsidRPr="00FA158B">
        <w:t xml:space="preserve"> ou renforcer le RPD, selon la répartition de la maîtrise d’ouvrage des travaux sur le RPD entre </w:t>
      </w:r>
      <w:r w:rsidR="0076712A">
        <w:t>le GRD</w:t>
      </w:r>
      <w:r w:rsidRPr="00FA158B">
        <w:t xml:space="preserve"> et l’autorité concédante, définie dans  chaque cahier des charges de concession</w:t>
      </w:r>
      <w:r w:rsidR="00A94769" w:rsidRPr="00FA158B">
        <w:t xml:space="preserve"> </w:t>
      </w:r>
      <w:r w:rsidRPr="00FA158B">
        <w:t>;</w:t>
      </w:r>
    </w:p>
    <w:p w14:paraId="64D7D746" w14:textId="77777777" w:rsidR="00F97290" w:rsidRPr="00FA158B" w:rsidRDefault="00F97290" w:rsidP="009C3752">
      <w:pPr>
        <w:pStyle w:val="SPuce"/>
      </w:pPr>
      <w:proofErr w:type="gramStart"/>
      <w:r w:rsidRPr="00FA158B">
        <w:t>mettre</w:t>
      </w:r>
      <w:proofErr w:type="gramEnd"/>
      <w:r w:rsidRPr="00FA158B">
        <w:t xml:space="preserve"> à disp</w:t>
      </w:r>
      <w:r w:rsidR="004D1F5E" w:rsidRPr="00FA158B">
        <w:t>osition des signaux tarifaires.</w:t>
      </w:r>
    </w:p>
    <w:p w14:paraId="476A7378" w14:textId="77777777" w:rsidR="00F97290" w:rsidRPr="00FA158B" w:rsidRDefault="00F97290" w:rsidP="00DC643C">
      <w:pPr>
        <w:pStyle w:val="Normal1"/>
        <w:spacing w:before="0" w:after="0"/>
      </w:pPr>
    </w:p>
    <w:p w14:paraId="59DC90AB" w14:textId="3BAE6A30" w:rsidR="00F97290" w:rsidRPr="00FA158B" w:rsidRDefault="0076712A" w:rsidP="00DC643C">
      <w:pPr>
        <w:spacing w:before="0"/>
      </w:pPr>
      <w:r>
        <w:t>Le GRD</w:t>
      </w:r>
      <w:r w:rsidR="00F97290" w:rsidRPr="00FA158B">
        <w:t xml:space="preserve"> s’engage également notamment à l’égard du Fournisseur à :</w:t>
      </w:r>
    </w:p>
    <w:p w14:paraId="7DA6D44C" w14:textId="77777777" w:rsidR="00F97290" w:rsidRPr="00FA158B" w:rsidRDefault="00F97290" w:rsidP="009C3752">
      <w:pPr>
        <w:pStyle w:val="SPuce"/>
      </w:pPr>
      <w:proofErr w:type="gramStart"/>
      <w:r w:rsidRPr="00FA158B">
        <w:t>assurer</w:t>
      </w:r>
      <w:proofErr w:type="gramEnd"/>
      <w:r w:rsidRPr="00FA158B">
        <w:t xml:space="preserve"> l’accueil et le traitement des demandes du Fournisseur ;</w:t>
      </w:r>
    </w:p>
    <w:p w14:paraId="042B6232" w14:textId="2D2C845D" w:rsidR="00F97290" w:rsidRPr="00FA158B" w:rsidRDefault="00F97290" w:rsidP="009C3752">
      <w:pPr>
        <w:pStyle w:val="SPuce"/>
      </w:pPr>
      <w:proofErr w:type="gramStart"/>
      <w:r w:rsidRPr="00FA158B">
        <w:t>élaborer</w:t>
      </w:r>
      <w:proofErr w:type="gramEnd"/>
      <w:r w:rsidRPr="00FA158B">
        <w:t xml:space="preserve">, valider et mettre à disposition du Fournisseur les données nécessaires à la facturation au Fournisseur, par </w:t>
      </w:r>
      <w:r w:rsidR="0076712A">
        <w:t>le GRD</w:t>
      </w:r>
      <w:r w:rsidRPr="00FA158B">
        <w:t>, du Tarif d’Utilisation des Réseaux appliqué au Point de Livraison ;</w:t>
      </w:r>
    </w:p>
    <w:p w14:paraId="0F62D1F0" w14:textId="6939411F" w:rsidR="00F97290" w:rsidRPr="008212F8" w:rsidRDefault="00F97290" w:rsidP="009C3752">
      <w:pPr>
        <w:pStyle w:val="SPuce"/>
      </w:pPr>
      <w:proofErr w:type="gramStart"/>
      <w:r w:rsidRPr="008212F8">
        <w:t>élaborer</w:t>
      </w:r>
      <w:proofErr w:type="gramEnd"/>
      <w:r w:rsidRPr="008212F8">
        <w:t>, valider et mettre à disposition du Fournisseur les données nécessaires à la facturation au Client, par les soins du Fournisseur, de l’énergie électrique,</w:t>
      </w:r>
      <w:r w:rsidR="00723B2E" w:rsidRPr="008212F8">
        <w:t xml:space="preserve"> </w:t>
      </w:r>
      <w:r w:rsidRPr="008212F8">
        <w:t xml:space="preserve">conformément aux dispositions des </w:t>
      </w:r>
      <w:r w:rsidR="00CE16AE" w:rsidRPr="008212F8">
        <w:t>Référentiel</w:t>
      </w:r>
      <w:r w:rsidRPr="008212F8">
        <w:t xml:space="preserve">s </w:t>
      </w:r>
      <w:r w:rsidR="0076712A" w:rsidRPr="008212F8">
        <w:t>du GRD</w:t>
      </w:r>
      <w:r w:rsidR="007239F7" w:rsidRPr="008212F8">
        <w:t xml:space="preserve"> </w:t>
      </w:r>
      <w:r w:rsidRPr="008212F8">
        <w:t>et de son Catalogue des prestations. Ces données sont également utilisées pour la Reconstitution des flux et le traitement des Ecarts conformémen</w:t>
      </w:r>
      <w:r w:rsidR="002B3E0E" w:rsidRPr="008212F8">
        <w:t xml:space="preserve">t aux modalités contractuelles </w:t>
      </w:r>
      <w:r w:rsidRPr="008212F8">
        <w:t>applicables au dispositif de Responsable d’Equilibre ;</w:t>
      </w:r>
    </w:p>
    <w:p w14:paraId="50466BE4" w14:textId="0F24EB3A" w:rsidR="004C733C" w:rsidRPr="008212F8" w:rsidRDefault="004C733C" w:rsidP="004C733C">
      <w:pPr>
        <w:pStyle w:val="SPuce"/>
      </w:pPr>
      <w:proofErr w:type="gramStart"/>
      <w:r w:rsidRPr="008212F8">
        <w:t>gérer</w:t>
      </w:r>
      <w:proofErr w:type="gramEnd"/>
      <w:r w:rsidRPr="008212F8">
        <w:t xml:space="preserve"> les calendriers fournisseurs dès lors que le SI du GRD est capable de gérer ces calendriers et que le client dispose d’un Compteur Communicant. Ces calendriers seront disponibles au plus tard en 2024 ;</w:t>
      </w:r>
    </w:p>
    <w:p w14:paraId="5D1C9963" w14:textId="77777777" w:rsidR="00F97290" w:rsidRPr="00FA158B" w:rsidRDefault="00F97290" w:rsidP="009C3752">
      <w:pPr>
        <w:pStyle w:val="SPuce"/>
      </w:pPr>
      <w:proofErr w:type="gramStart"/>
      <w:r w:rsidRPr="00FA158B">
        <w:t>transmettre</w:t>
      </w:r>
      <w:proofErr w:type="gramEnd"/>
      <w:r w:rsidRPr="00FA158B">
        <w:t xml:space="preserve"> à RTE, et le cas échéant au Responsable d’Equilibre désigné par le Fournisseur, les données nécessaires à la Reconstitution des flux ;</w:t>
      </w:r>
    </w:p>
    <w:p w14:paraId="2D354375" w14:textId="77777777" w:rsidR="00F97290" w:rsidRPr="00FA158B" w:rsidRDefault="00F97290" w:rsidP="009C3752">
      <w:pPr>
        <w:pStyle w:val="SPuce"/>
      </w:pPr>
      <w:proofErr w:type="gramStart"/>
      <w:r w:rsidRPr="00FA158B">
        <w:t>suspendre</w:t>
      </w:r>
      <w:proofErr w:type="gramEnd"/>
      <w:r w:rsidRPr="00FA158B">
        <w:t xml:space="preserve"> l’accès au Réseau Public de Distribution à la demande du Fournisseur ;</w:t>
      </w:r>
    </w:p>
    <w:p w14:paraId="6F69A6D5" w14:textId="0B3431CD" w:rsidR="00F97290" w:rsidRPr="00FA158B" w:rsidRDefault="00F97290" w:rsidP="009C3752">
      <w:pPr>
        <w:pStyle w:val="SPuce"/>
      </w:pPr>
      <w:proofErr w:type="gramStart"/>
      <w:r w:rsidRPr="00FA158B">
        <w:t>autoriser</w:t>
      </w:r>
      <w:proofErr w:type="gramEnd"/>
      <w:r w:rsidRPr="00FA158B">
        <w:t xml:space="preserve"> l’établissement d’un lien hypertexte du site internet du Fournisseur vers la page d’accueil du </w:t>
      </w:r>
      <w:r w:rsidR="00CE16AE">
        <w:t>Site</w:t>
      </w:r>
      <w:r w:rsidRPr="00FA158B">
        <w:t xml:space="preserve"> internet </w:t>
      </w:r>
      <w:r w:rsidR="0076712A">
        <w:t>du GRD</w:t>
      </w:r>
      <w:r w:rsidRPr="00FA158B">
        <w:t xml:space="preserve"> et vers les pages du </w:t>
      </w:r>
      <w:r w:rsidR="00CE16AE">
        <w:t>Site</w:t>
      </w:r>
      <w:r w:rsidRPr="00FA158B">
        <w:t xml:space="preserve"> internet </w:t>
      </w:r>
      <w:r w:rsidR="0076712A">
        <w:t>du GRD</w:t>
      </w:r>
      <w:r w:rsidRPr="00FA158B">
        <w:t xml:space="preserve"> mentionnées dans les présentes dispositions générales.</w:t>
      </w:r>
    </w:p>
    <w:p w14:paraId="43323696" w14:textId="77777777" w:rsidR="00F97290" w:rsidRPr="00FA158B" w:rsidRDefault="00F97290" w:rsidP="009C3752">
      <w:pPr>
        <w:pStyle w:val="Titre2"/>
      </w:pPr>
      <w:bookmarkStart w:id="24" w:name="_Toc66163532"/>
      <w:bookmarkStart w:id="25" w:name="_Ref165102884"/>
      <w:bookmarkStart w:id="26" w:name="_Ref165110425"/>
      <w:bookmarkStart w:id="27" w:name="_Ref415242104"/>
      <w:bookmarkStart w:id="28" w:name="_Toc472522871"/>
      <w:bookmarkStart w:id="29" w:name="_Toc21422389"/>
      <w:r w:rsidRPr="00FA158B">
        <w:t>Le Fournisseur et l’accès du Client au Réseau Public de Distribution</w:t>
      </w:r>
      <w:bookmarkEnd w:id="24"/>
      <w:bookmarkEnd w:id="25"/>
      <w:bookmarkEnd w:id="26"/>
      <w:bookmarkEnd w:id="27"/>
      <w:bookmarkEnd w:id="28"/>
      <w:bookmarkEnd w:id="29"/>
    </w:p>
    <w:p w14:paraId="7864E00C" w14:textId="77777777" w:rsidR="00F97290" w:rsidRPr="00FA158B" w:rsidRDefault="00F97290" w:rsidP="009C3752">
      <w:bookmarkStart w:id="30" w:name="_Toc66163533"/>
      <w:r w:rsidRPr="00FA158B">
        <w:t>Dans le cadre des présentes dispositions générales, le Fournisseur s’engage à :</w:t>
      </w:r>
    </w:p>
    <w:p w14:paraId="50F4181B" w14:textId="77777777" w:rsidR="00F97290" w:rsidRPr="00FA158B" w:rsidRDefault="00F97290" w:rsidP="00DC643C">
      <w:pPr>
        <w:pStyle w:val="Corpsdetexte21"/>
        <w:spacing w:before="160"/>
        <w:ind w:left="425" w:hanging="425"/>
        <w:rPr>
          <w:rFonts w:asciiTheme="minorHAnsi" w:hAnsiTheme="minorHAnsi" w:cstheme="minorHAnsi"/>
          <w:color w:val="575757" w:themeColor="text1"/>
          <w:sz w:val="20"/>
        </w:rPr>
      </w:pPr>
      <w:r w:rsidRPr="00FA158B">
        <w:rPr>
          <w:rFonts w:asciiTheme="minorHAnsi" w:hAnsiTheme="minorHAnsi" w:cstheme="minorHAnsi"/>
          <w:color w:val="575757" w:themeColor="text1"/>
          <w:sz w:val="20"/>
        </w:rPr>
        <w:sym w:font="Wingdings" w:char="F0E0"/>
      </w:r>
      <w:r w:rsidRPr="00FA158B">
        <w:rPr>
          <w:rFonts w:asciiTheme="minorHAnsi" w:hAnsiTheme="minorHAnsi" w:cstheme="minorHAnsi"/>
          <w:color w:val="575757" w:themeColor="text1"/>
          <w:sz w:val="20"/>
        </w:rPr>
        <w:t xml:space="preserve"> Au titre de ses relations contractuelles avec les Clients :</w:t>
      </w:r>
    </w:p>
    <w:p w14:paraId="3F4DA571" w14:textId="5BE26BC5" w:rsidR="00F97290" w:rsidRPr="00FA158B" w:rsidRDefault="00F97290" w:rsidP="00442A7C">
      <w:pPr>
        <w:pStyle w:val="SPuce"/>
      </w:pPr>
      <w:proofErr w:type="gramStart"/>
      <w:r w:rsidRPr="00FA158B">
        <w:t>assurer</w:t>
      </w:r>
      <w:proofErr w:type="gramEnd"/>
      <w:r w:rsidRPr="00FA158B">
        <w:t xml:space="preserve"> l’accueil des demandes et des réclamations du Client </w:t>
      </w:r>
      <w:r w:rsidR="00442A7C">
        <w:t>et à répondre, en tant que r</w:t>
      </w:r>
      <w:r w:rsidR="00442A7C" w:rsidRPr="00442A7C">
        <w:t xml:space="preserve">esponsable de </w:t>
      </w:r>
      <w:r w:rsidR="00442A7C">
        <w:t>t</w:t>
      </w:r>
      <w:r w:rsidR="00442A7C" w:rsidRPr="00442A7C">
        <w:t>raitement, aux demandes de droit d‘accès, de rectification, de suppression, de droit à la limitation et à la portabilité des clients concernés dans le cadre la loi informatique et Libertés modifiée n°78-17 du 6 janvier 1978 et d</w:t>
      </w:r>
      <w:r w:rsidR="004C733C">
        <w:t xml:space="preserve">es </w:t>
      </w:r>
      <w:r w:rsidR="00442A7C" w:rsidRPr="00442A7C">
        <w:t>articles 12</w:t>
      </w:r>
      <w:r w:rsidR="004B286E">
        <w:t xml:space="preserve"> à 23</w:t>
      </w:r>
      <w:r w:rsidR="00442A7C">
        <w:t xml:space="preserve"> </w:t>
      </w:r>
      <w:r w:rsidR="004C733C">
        <w:t xml:space="preserve">du RGPD </w:t>
      </w:r>
      <w:r w:rsidRPr="00FA158B">
        <w:t>;</w:t>
      </w:r>
    </w:p>
    <w:p w14:paraId="20D0AD87" w14:textId="77777777" w:rsidR="00F97290" w:rsidRPr="00FA158B" w:rsidRDefault="00F97290" w:rsidP="00DC643C">
      <w:pPr>
        <w:pStyle w:val="SPuce"/>
      </w:pPr>
      <w:proofErr w:type="gramStart"/>
      <w:r w:rsidRPr="00FA158B">
        <w:t>assurer</w:t>
      </w:r>
      <w:proofErr w:type="gramEnd"/>
      <w:r w:rsidRPr="00FA158B">
        <w:t xml:space="preserve"> la reproduction du contrat GRD-F, selon des modalités permettant une consultation simple et complète pour le Client, en annexant à son Contrat Unique l’annexe 1 bis ;</w:t>
      </w:r>
    </w:p>
    <w:p w14:paraId="009DE6D8" w14:textId="21153959" w:rsidR="00F97290" w:rsidRPr="00FA158B" w:rsidRDefault="00F97290" w:rsidP="00442A7C">
      <w:pPr>
        <w:pStyle w:val="SPuce"/>
      </w:pPr>
      <w:proofErr w:type="gramStart"/>
      <w:r w:rsidRPr="00FA158B">
        <w:t>informer</w:t>
      </w:r>
      <w:proofErr w:type="gramEnd"/>
      <w:r w:rsidRPr="00FA158B">
        <w:t xml:space="preserve"> le Client relativement aux dispositions générales d’accès au RPD </w:t>
      </w:r>
      <w:r w:rsidR="004C733C">
        <w:t xml:space="preserve">et en tant que responsable de traitement, à informer le Client dans le respect de la législation sur la protection des données à caractère personnel, au moment de la collecte des données des données personnelles, avec les mentions légales Informatique &amp; Libertés prévues par les articles 13 et 14 du RGPD </w:t>
      </w:r>
      <w:r w:rsidRPr="00FA158B">
        <w:t>;</w:t>
      </w:r>
    </w:p>
    <w:p w14:paraId="44AD94EE" w14:textId="184D423B" w:rsidR="00F97290" w:rsidRPr="00FA158B" w:rsidRDefault="00F97290" w:rsidP="00DC643C">
      <w:pPr>
        <w:pStyle w:val="SPuce"/>
      </w:pPr>
      <w:proofErr w:type="gramStart"/>
      <w:r w:rsidRPr="00FA158B">
        <w:t>informer</w:t>
      </w:r>
      <w:proofErr w:type="gramEnd"/>
      <w:r w:rsidRPr="00FA158B">
        <w:t xml:space="preserve"> le Client que ce dernier engage sa responsabilité en cas de </w:t>
      </w:r>
      <w:proofErr w:type="spellStart"/>
      <w:r w:rsidRPr="00FA158B">
        <w:t>non respect</w:t>
      </w:r>
      <w:proofErr w:type="spellEnd"/>
      <w:r w:rsidRPr="00FA158B">
        <w:t xml:space="preserve"> ou de mauvaise application des conditions relatives à l’accès et à l’utilisation du Réseau Public de Distribution et qu’il devra indemniser tout préjudice qu’il aura causé à un tiers et notamment </w:t>
      </w:r>
      <w:r w:rsidR="001D36B4">
        <w:t>au GRD</w:t>
      </w:r>
      <w:r w:rsidRPr="00FA158B">
        <w:t> ;</w:t>
      </w:r>
    </w:p>
    <w:p w14:paraId="52374B99" w14:textId="77777777" w:rsidR="00F97290" w:rsidRPr="00FA158B" w:rsidRDefault="00F97290" w:rsidP="00DC643C">
      <w:pPr>
        <w:pStyle w:val="SPuce"/>
      </w:pPr>
      <w:proofErr w:type="gramStart"/>
      <w:r w:rsidRPr="00FA158B">
        <w:t>informer</w:t>
      </w:r>
      <w:proofErr w:type="gramEnd"/>
      <w:r w:rsidRPr="00FA158B">
        <w:t xml:space="preserve"> le Client en cas de défaillance, au sens de l'article L333-3 du code de l’énergie, de la part du Fournisseur.</w:t>
      </w:r>
    </w:p>
    <w:p w14:paraId="2E5C096B" w14:textId="77777777" w:rsidR="00547899" w:rsidRPr="00FA158B" w:rsidRDefault="00547899" w:rsidP="00547899">
      <w:pPr>
        <w:pStyle w:val="SPuce"/>
        <w:numPr>
          <w:ilvl w:val="0"/>
          <w:numId w:val="0"/>
        </w:numPr>
        <w:ind w:left="720"/>
      </w:pPr>
    </w:p>
    <w:p w14:paraId="1BE229BC" w14:textId="77777777" w:rsidR="00547899" w:rsidRPr="00FA158B" w:rsidRDefault="00547899" w:rsidP="00547899">
      <w:pPr>
        <w:pStyle w:val="SPuce"/>
        <w:numPr>
          <w:ilvl w:val="0"/>
          <w:numId w:val="0"/>
        </w:numPr>
        <w:ind w:left="720"/>
      </w:pPr>
    </w:p>
    <w:p w14:paraId="4E67DF4C" w14:textId="66F286DB" w:rsidR="00F97290" w:rsidRPr="00FA158B" w:rsidRDefault="00F97290" w:rsidP="00DC643C">
      <w:pPr>
        <w:pStyle w:val="Corpsdetexte21"/>
        <w:spacing w:before="160"/>
        <w:ind w:left="425" w:hanging="425"/>
        <w:rPr>
          <w:rFonts w:asciiTheme="minorHAnsi" w:hAnsiTheme="minorHAnsi" w:cstheme="minorHAnsi"/>
          <w:color w:val="575757" w:themeColor="text1"/>
          <w:sz w:val="20"/>
        </w:rPr>
      </w:pPr>
      <w:r w:rsidRPr="00FA158B">
        <w:rPr>
          <w:rFonts w:asciiTheme="minorHAnsi" w:hAnsiTheme="minorHAnsi" w:cstheme="minorHAnsi"/>
          <w:color w:val="575757" w:themeColor="text1"/>
          <w:sz w:val="20"/>
        </w:rPr>
        <w:sym w:font="Wingdings" w:char="F0E0"/>
      </w:r>
      <w:r w:rsidRPr="00FA158B">
        <w:rPr>
          <w:rFonts w:asciiTheme="minorHAnsi" w:hAnsiTheme="minorHAnsi" w:cstheme="minorHAnsi"/>
          <w:color w:val="575757" w:themeColor="text1"/>
          <w:sz w:val="20"/>
        </w:rPr>
        <w:t xml:space="preserve"> Au titre de ses relations avec </w:t>
      </w:r>
      <w:r w:rsidR="0076712A">
        <w:rPr>
          <w:rFonts w:asciiTheme="minorHAnsi" w:hAnsiTheme="minorHAnsi" w:cstheme="minorHAnsi"/>
          <w:color w:val="575757" w:themeColor="text1"/>
          <w:sz w:val="20"/>
        </w:rPr>
        <w:t>le GRD</w:t>
      </w:r>
      <w:r w:rsidRPr="00FA158B">
        <w:rPr>
          <w:rFonts w:asciiTheme="minorHAnsi" w:hAnsiTheme="minorHAnsi" w:cstheme="minorHAnsi"/>
          <w:color w:val="575757" w:themeColor="text1"/>
          <w:sz w:val="20"/>
        </w:rPr>
        <w:t> :</w:t>
      </w:r>
    </w:p>
    <w:p w14:paraId="01EE43D3" w14:textId="012C6CF5" w:rsidR="00F97290" w:rsidRPr="00FA158B" w:rsidRDefault="00F97290" w:rsidP="00DC643C">
      <w:pPr>
        <w:pStyle w:val="SPuce"/>
      </w:pPr>
      <w:proofErr w:type="gramStart"/>
      <w:r w:rsidRPr="00FA158B">
        <w:t>souscrire</w:t>
      </w:r>
      <w:proofErr w:type="gramEnd"/>
      <w:r w:rsidRPr="00FA158B">
        <w:t xml:space="preserve"> auprès </w:t>
      </w:r>
      <w:r w:rsidR="0076712A">
        <w:t>du GRD</w:t>
      </w:r>
      <w:r w:rsidRPr="00FA158B">
        <w:t>, pour chacun des Points de Livraison de son Périmètre de Facturation, un accès au Réseau respectant la capacité des ouvrages ;</w:t>
      </w:r>
    </w:p>
    <w:p w14:paraId="2CACA7A2" w14:textId="205CADFA" w:rsidR="00F97290" w:rsidRPr="00FA158B" w:rsidRDefault="00F97290" w:rsidP="00DC643C">
      <w:pPr>
        <w:pStyle w:val="SPuce"/>
      </w:pPr>
      <w:proofErr w:type="gramStart"/>
      <w:r w:rsidRPr="00FA158B">
        <w:t>payer</w:t>
      </w:r>
      <w:proofErr w:type="gramEnd"/>
      <w:r w:rsidRPr="00FA158B">
        <w:t xml:space="preserve"> </w:t>
      </w:r>
      <w:r w:rsidR="001D36B4">
        <w:t>au GRD</w:t>
      </w:r>
      <w:r w:rsidRPr="00FA158B">
        <w:t xml:space="preserve"> dans les délais convenus les factures relatives à l’utilisation des Réseaux, ainsi que les prestations concernant les Points de Livraison de son périmètre ;</w:t>
      </w:r>
    </w:p>
    <w:p w14:paraId="76A7AB3F" w14:textId="5CB0AD88" w:rsidR="00F97290" w:rsidRPr="008212F8" w:rsidRDefault="00F97290" w:rsidP="00DC643C">
      <w:pPr>
        <w:pStyle w:val="SPuce"/>
      </w:pPr>
      <w:proofErr w:type="gramStart"/>
      <w:r w:rsidRPr="008212F8">
        <w:t>fournir</w:t>
      </w:r>
      <w:proofErr w:type="gramEnd"/>
      <w:r w:rsidRPr="008212F8">
        <w:t xml:space="preserve"> et maintenir à tout moment une garantie bancaire à première demande</w:t>
      </w:r>
      <w:r w:rsidR="004C733C" w:rsidRPr="008212F8">
        <w:t xml:space="preserve"> ou un dépôt de garantie</w:t>
      </w:r>
      <w:r w:rsidR="009767EE" w:rsidRPr="008212F8">
        <w:t xml:space="preserve"> conformément à l’article 8 du contrat GRD-F</w:t>
      </w:r>
      <w:r w:rsidRPr="008212F8">
        <w:t xml:space="preserve"> adaptée </w:t>
      </w:r>
      <w:r w:rsidR="00BD3A97" w:rsidRPr="008212F8">
        <w:rPr>
          <w:rFonts w:ascii="Calibri" w:hAnsi="Calibri"/>
          <w:color w:val="575757"/>
        </w:rPr>
        <w:t>sur la base de l’ensemble des Périmètres de facturation agrégés du fournisseur personne morale</w:t>
      </w:r>
      <w:r w:rsidR="00BD3A97" w:rsidRPr="008212F8">
        <w:t xml:space="preserve"> </w:t>
      </w:r>
      <w:r w:rsidRPr="008212F8">
        <w:t>;</w:t>
      </w:r>
    </w:p>
    <w:p w14:paraId="196185FA" w14:textId="77777777" w:rsidR="00F97290" w:rsidRPr="00FA158B" w:rsidRDefault="00F97290" w:rsidP="00DC643C">
      <w:pPr>
        <w:pStyle w:val="SPuce"/>
      </w:pPr>
      <w:proofErr w:type="gramStart"/>
      <w:r w:rsidRPr="00FA158B">
        <w:t>désigner</w:t>
      </w:r>
      <w:proofErr w:type="gramEnd"/>
      <w:r w:rsidRPr="00FA158B">
        <w:t xml:space="preserve"> lors de la conclusion de son contrat GRD-F et conserver pendant toute la durée de son contrat GRD-F un Responsable d’Equilibre pour l'ensemble des Points de Livraison de son Périmètre de Facturation ;</w:t>
      </w:r>
    </w:p>
    <w:p w14:paraId="4D5D857C" w14:textId="423132B6" w:rsidR="00F97290" w:rsidRDefault="00442A7C" w:rsidP="00DC643C">
      <w:pPr>
        <w:pStyle w:val="SPuce"/>
      </w:pPr>
      <w:proofErr w:type="gramStart"/>
      <w:r>
        <w:t>en</w:t>
      </w:r>
      <w:proofErr w:type="gramEnd"/>
      <w:r>
        <w:t xml:space="preserve"> tant que responsable de traitement, collecter</w:t>
      </w:r>
      <w:r w:rsidR="009767EE">
        <w:t>,</w:t>
      </w:r>
      <w:r>
        <w:t xml:space="preserve"> transmettre </w:t>
      </w:r>
      <w:r w:rsidR="0076712A">
        <w:t>au GRD</w:t>
      </w:r>
      <w:r w:rsidR="00F97290" w:rsidRPr="00FA158B">
        <w:t xml:space="preserve"> </w:t>
      </w:r>
      <w:r>
        <w:t xml:space="preserve">et mettre </w:t>
      </w:r>
      <w:r w:rsidR="00F97290" w:rsidRPr="00FA158B">
        <w:t xml:space="preserve">à jour </w:t>
      </w:r>
      <w:r>
        <w:t>l</w:t>
      </w:r>
      <w:r w:rsidR="00F97290" w:rsidRPr="00FA158B">
        <w:t xml:space="preserve">es données </w:t>
      </w:r>
      <w:r>
        <w:t xml:space="preserve">à caractère personnel </w:t>
      </w:r>
      <w:r w:rsidR="00F97290" w:rsidRPr="00FA158B">
        <w:t xml:space="preserve">dont il est </w:t>
      </w:r>
      <w:r>
        <w:t>responsable au titre de la législation sur la protection des données personnelles</w:t>
      </w:r>
      <w:r w:rsidRPr="00FA158B">
        <w:t xml:space="preserve"> </w:t>
      </w:r>
      <w:r w:rsidR="00F97290" w:rsidRPr="00FA158B">
        <w:t>(au sens de l’annexe 4 du contrat GRD-F) pour chaque Point de Livraison concerné.</w:t>
      </w:r>
    </w:p>
    <w:p w14:paraId="15C9220C" w14:textId="6E09C2B6" w:rsidR="00442A7C" w:rsidRPr="00FA158B" w:rsidRDefault="00442A7C" w:rsidP="00442A7C">
      <w:pPr>
        <w:pStyle w:val="SPuce"/>
      </w:pPr>
      <w:proofErr w:type="gramStart"/>
      <w:r>
        <w:t>à</w:t>
      </w:r>
      <w:proofErr w:type="gramEnd"/>
      <w:r>
        <w:t xml:space="preserve"> </w:t>
      </w:r>
      <w:r w:rsidRPr="00442A7C">
        <w:t xml:space="preserve">informer </w:t>
      </w:r>
      <w:r w:rsidR="0076712A">
        <w:t>le GRD</w:t>
      </w:r>
      <w:r w:rsidRPr="00442A7C">
        <w:t xml:space="preserve"> en cas de violation de données à caractère personnel </w:t>
      </w:r>
      <w:r w:rsidR="009767EE">
        <w:t xml:space="preserve">transmises au GRD </w:t>
      </w:r>
      <w:r w:rsidRPr="00442A7C">
        <w:t>dans les meilleurs délais</w:t>
      </w:r>
      <w:r w:rsidR="00C67432">
        <w:t>.</w:t>
      </w:r>
    </w:p>
    <w:p w14:paraId="17D6D2B2" w14:textId="747337E5" w:rsidR="00F97290" w:rsidRPr="00FA158B" w:rsidRDefault="00F97290" w:rsidP="009C3752">
      <w:r w:rsidRPr="00FA158B">
        <w:t xml:space="preserve">Dans le respect des textes en vigueur, le Fournisseur a la faculté de faire suspendre par </w:t>
      </w:r>
      <w:r w:rsidR="0076712A">
        <w:t>le GRD</w:t>
      </w:r>
      <w:r w:rsidR="0076712A" w:rsidRPr="00FA158B">
        <w:t xml:space="preserve"> </w:t>
      </w:r>
      <w:r w:rsidRPr="00FA158B">
        <w:t xml:space="preserve">l’accès au RPD de Points de Livraison conformément à l’article </w:t>
      </w:r>
      <w:hyperlink w:anchor="_Suspension_de_l’accès" w:history="1">
        <w:r w:rsidRPr="00FA158B">
          <w:t>10.2</w:t>
        </w:r>
      </w:hyperlink>
      <w:r w:rsidRPr="00FA158B">
        <w:t xml:space="preserve"> de la présente annexe.</w:t>
      </w:r>
    </w:p>
    <w:p w14:paraId="275DB8AD" w14:textId="77777777" w:rsidR="00F97290" w:rsidRPr="00FA158B" w:rsidRDefault="00F97290" w:rsidP="009C3752">
      <w:pPr>
        <w:pStyle w:val="Titre2"/>
      </w:pPr>
      <w:bookmarkStart w:id="31" w:name="_Toc472522872"/>
      <w:bookmarkStart w:id="32" w:name="_Toc21422390"/>
      <w:r w:rsidRPr="00FA158B">
        <w:t>Le Client et l’accès au Réseau Public de Distribution</w:t>
      </w:r>
      <w:bookmarkEnd w:id="30"/>
      <w:bookmarkEnd w:id="31"/>
      <w:bookmarkEnd w:id="32"/>
    </w:p>
    <w:p w14:paraId="51829FA9" w14:textId="03344CD9" w:rsidR="00F97290" w:rsidRPr="00FA158B" w:rsidRDefault="00F97290" w:rsidP="009C3752">
      <w:r w:rsidRPr="00FA158B">
        <w:t xml:space="preserve">Afin de lui permettre d’accéder au RPD et de l’utiliser dans le cadre de la conclusion du Contrat Unique, le Client doit s’engager à l’égard du Fournisseur et </w:t>
      </w:r>
      <w:r w:rsidR="0076712A">
        <w:t>du GRD</w:t>
      </w:r>
      <w:r w:rsidRPr="00FA158B">
        <w:t>, à respecter l’ensemble des obligations mises à sa charge par le contrat GRD-F.</w:t>
      </w:r>
    </w:p>
    <w:p w14:paraId="1B33F5EE" w14:textId="77777777" w:rsidR="00F97290" w:rsidRPr="00FA158B" w:rsidRDefault="00DC643C" w:rsidP="009C3752">
      <w:r w:rsidRPr="00FA158B">
        <w:t>D</w:t>
      </w:r>
      <w:r w:rsidR="00F97290" w:rsidRPr="00FA158B">
        <w:t>ans le cadre des présentes dispositions générales, le Client s’engage notamment à :</w:t>
      </w:r>
    </w:p>
    <w:p w14:paraId="336E75A4" w14:textId="77777777" w:rsidR="00F97290" w:rsidRPr="00FA158B" w:rsidRDefault="00F97290" w:rsidP="00DC643C">
      <w:pPr>
        <w:pStyle w:val="SPuce"/>
      </w:pPr>
      <w:proofErr w:type="gramStart"/>
      <w:r w:rsidRPr="00FA158B">
        <w:t>assurer</w:t>
      </w:r>
      <w:proofErr w:type="gramEnd"/>
      <w:r w:rsidRPr="00FA158B">
        <w:t xml:space="preserve"> la conformité de ses installations intérieures aux textes et normes applicables ;</w:t>
      </w:r>
    </w:p>
    <w:p w14:paraId="2FA3E7AD" w14:textId="77777777" w:rsidR="00F97290" w:rsidRPr="00FA158B" w:rsidRDefault="00F97290" w:rsidP="00DC643C">
      <w:pPr>
        <w:pStyle w:val="SPuce"/>
      </w:pPr>
      <w:proofErr w:type="gramStart"/>
      <w:r w:rsidRPr="00FA158B">
        <w:t>le</w:t>
      </w:r>
      <w:proofErr w:type="gramEnd"/>
      <w:r w:rsidRPr="00FA158B">
        <w:t xml:space="preserve"> cas échéant, assurer la conformité de son poste de livraison ;</w:t>
      </w:r>
    </w:p>
    <w:p w14:paraId="3DFB9C2F" w14:textId="0874CFAA" w:rsidR="00F97290" w:rsidRPr="00FA158B" w:rsidRDefault="00F97290" w:rsidP="00DC643C">
      <w:pPr>
        <w:pStyle w:val="SPuce"/>
      </w:pPr>
      <w:proofErr w:type="gramStart"/>
      <w:r w:rsidRPr="00FA158B">
        <w:t>garantir</w:t>
      </w:r>
      <w:proofErr w:type="gramEnd"/>
      <w:r w:rsidRPr="00FA158B">
        <w:t xml:space="preserve"> le libre accès des agents </w:t>
      </w:r>
      <w:r w:rsidR="0076712A">
        <w:t>du GRD</w:t>
      </w:r>
      <w:r w:rsidRPr="00FA158B">
        <w:t xml:space="preserve"> aux Dispositifs de comptage</w:t>
      </w:r>
      <w:r w:rsidR="00A94769" w:rsidRPr="00FA158B">
        <w:t xml:space="preserve"> </w:t>
      </w:r>
      <w:r w:rsidRPr="00FA158B">
        <w:t>;</w:t>
      </w:r>
    </w:p>
    <w:p w14:paraId="78A383B9" w14:textId="77777777" w:rsidR="00F97290" w:rsidRPr="00FA158B" w:rsidRDefault="00F97290" w:rsidP="00DC643C">
      <w:pPr>
        <w:pStyle w:val="SPuce"/>
      </w:pPr>
      <w:proofErr w:type="gramStart"/>
      <w:r w:rsidRPr="00FA158B">
        <w:t>respecter</w:t>
      </w:r>
      <w:proofErr w:type="gramEnd"/>
      <w:r w:rsidRPr="00FA158B">
        <w:t xml:space="preserve"> les règles de sécurité applicables ;</w:t>
      </w:r>
    </w:p>
    <w:p w14:paraId="34014971" w14:textId="77777777" w:rsidR="00F97290" w:rsidRPr="00FA158B" w:rsidRDefault="00F97290" w:rsidP="00DC643C">
      <w:pPr>
        <w:pStyle w:val="SPuce"/>
      </w:pPr>
      <w:proofErr w:type="gramStart"/>
      <w:r w:rsidRPr="00FA158B">
        <w:t>respecter</w:t>
      </w:r>
      <w:proofErr w:type="gramEnd"/>
      <w:r w:rsidRPr="00FA158B">
        <w:t xml:space="preserve"> un taux limite de perturbations causées par son installation sur le RPD ;</w:t>
      </w:r>
    </w:p>
    <w:p w14:paraId="306B49FF" w14:textId="77777777" w:rsidR="00F97290" w:rsidRPr="00FA158B" w:rsidRDefault="00F97290" w:rsidP="00DC643C">
      <w:pPr>
        <w:pStyle w:val="SPuce"/>
      </w:pPr>
      <w:proofErr w:type="gramStart"/>
      <w:r w:rsidRPr="00FA158B">
        <w:t>veiller</w:t>
      </w:r>
      <w:proofErr w:type="gramEnd"/>
      <w:r w:rsidRPr="00FA158B">
        <w:t xml:space="preserve"> à l’intégrité des ouvrages de son raccordement individuel, y compris du Comptage, afin de prévenir tout dommage accidentel ;</w:t>
      </w:r>
    </w:p>
    <w:p w14:paraId="1F027C3A" w14:textId="77777777" w:rsidR="00F97290" w:rsidRPr="00FA158B" w:rsidRDefault="00F97290" w:rsidP="00DC643C">
      <w:pPr>
        <w:pStyle w:val="SPuce"/>
      </w:pPr>
      <w:proofErr w:type="gramStart"/>
      <w:r w:rsidRPr="00FA158B">
        <w:t>satisfaire</w:t>
      </w:r>
      <w:proofErr w:type="gramEnd"/>
      <w:r w:rsidRPr="00FA158B">
        <w:t xml:space="preserv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3D648693" w14:textId="77777777" w:rsidR="00F97290" w:rsidRPr="00FA158B" w:rsidRDefault="00F97290" w:rsidP="00DC643C">
      <w:pPr>
        <w:pStyle w:val="SPuce"/>
      </w:pPr>
      <w:proofErr w:type="gramStart"/>
      <w:r w:rsidRPr="00FA158B">
        <w:t>le</w:t>
      </w:r>
      <w:proofErr w:type="gramEnd"/>
      <w:r w:rsidRPr="00FA158B">
        <w:t xml:space="preserve"> cas échéant, déclarer et entretenir les moyens de production autonome dont il dispose.</w:t>
      </w:r>
    </w:p>
    <w:p w14:paraId="548B9682" w14:textId="044F7465" w:rsidR="00F97290" w:rsidRPr="00FA158B" w:rsidRDefault="00F97290" w:rsidP="009C3752">
      <w:pPr>
        <w:pStyle w:val="Titre2"/>
      </w:pPr>
      <w:bookmarkStart w:id="33" w:name="_Toc66163534"/>
      <w:bookmarkStart w:id="34" w:name="_Toc472522873"/>
      <w:bookmarkStart w:id="35" w:name="_Toc21422391"/>
      <w:r w:rsidRPr="00FA158B">
        <w:t xml:space="preserve">Relations directes entre </w:t>
      </w:r>
      <w:r w:rsidR="0076712A">
        <w:t>le GRD</w:t>
      </w:r>
      <w:r w:rsidRPr="00FA158B">
        <w:t xml:space="preserve"> et Client</w:t>
      </w:r>
      <w:bookmarkEnd w:id="33"/>
      <w:bookmarkEnd w:id="34"/>
      <w:bookmarkEnd w:id="35"/>
    </w:p>
    <w:p w14:paraId="0A19E2A7" w14:textId="77777777" w:rsidR="00F97290" w:rsidRPr="00FA158B" w:rsidRDefault="00F97290" w:rsidP="009C3752">
      <w:r w:rsidRPr="00FA158B">
        <w:t xml:space="preserve">Dans le cadre de la conclusion et de l’exécution d’un Contrat Unique regroupant fourniture d’électricité, accès  et utilisation du RPD, et ainsi qu’il a été exposé ci-dessus à l’article </w:t>
      </w:r>
      <w:r w:rsidR="00983D6B" w:rsidRPr="00FA158B">
        <w:fldChar w:fldCharType="begin"/>
      </w:r>
      <w:r w:rsidR="00983D6B" w:rsidRPr="00FA158B">
        <w:instrText xml:space="preserve"> REF _Ref165102884 \r \h  \* MERGEFORMAT </w:instrText>
      </w:r>
      <w:r w:rsidR="00983D6B" w:rsidRPr="00FA158B">
        <w:fldChar w:fldCharType="separate"/>
      </w:r>
      <w:r w:rsidR="005E7E99">
        <w:t>1.3</w:t>
      </w:r>
      <w:r w:rsidR="00983D6B" w:rsidRPr="00FA158B">
        <w:fldChar w:fldCharType="end"/>
      </w:r>
      <w:r w:rsidRPr="00FA158B">
        <w:t>, le Fournisseur est l’interlocuteur privilégié du Client en ce qui concerne non seulement la fourniture de l’énergie électrique mais également en ce qui concerne l’accès au RPD et son utilisation dans les conditions prévues par le contrat GRD-F.</w:t>
      </w:r>
    </w:p>
    <w:p w14:paraId="1E18E9F3" w14:textId="773103AC" w:rsidR="00F97290" w:rsidRPr="00FA158B" w:rsidRDefault="00F97290" w:rsidP="009C3752">
      <w:r w:rsidRPr="00FA158B">
        <w:t xml:space="preserve">Néanmoins dans le cadre de l’accès et de l’utilisation du RPD, le Client conserve une relation contractuelle directe avec </w:t>
      </w:r>
      <w:r w:rsidR="0076712A">
        <w:t>le GRD</w:t>
      </w:r>
      <w:r w:rsidRPr="00FA158B">
        <w:t>.</w:t>
      </w:r>
    </w:p>
    <w:p w14:paraId="3CD3DB7B" w14:textId="75775226" w:rsidR="00F97290" w:rsidRPr="00FA158B" w:rsidRDefault="00F97290" w:rsidP="007239F7">
      <w:pPr>
        <w:spacing w:before="240"/>
      </w:pPr>
      <w:r w:rsidRPr="00FA158B">
        <w:t xml:space="preserve">Le Client peut s’adresser directement </w:t>
      </w:r>
      <w:r w:rsidR="001D36B4">
        <w:t>au GRD</w:t>
      </w:r>
      <w:r w:rsidRPr="00FA158B">
        <w:t xml:space="preserve"> et </w:t>
      </w:r>
      <w:r w:rsidR="0076712A">
        <w:t>le GRD</w:t>
      </w:r>
      <w:r w:rsidRPr="00FA158B">
        <w:t xml:space="preserve"> peut être amenée à intervenir directement auprès du Client, notamment dans les cas suivants pour lesquels le Fournisseur est tenu informé :</w:t>
      </w:r>
    </w:p>
    <w:p w14:paraId="2697CD1C" w14:textId="47E798CD" w:rsidR="00F97290" w:rsidRPr="00FA158B" w:rsidRDefault="00F97290" w:rsidP="00DC643C">
      <w:pPr>
        <w:pStyle w:val="SPuce"/>
      </w:pPr>
      <w:proofErr w:type="gramStart"/>
      <w:r w:rsidRPr="00FA158B">
        <w:t>prise</w:t>
      </w:r>
      <w:proofErr w:type="gramEnd"/>
      <w:r w:rsidRPr="00FA158B">
        <w:t xml:space="preserve"> de rendez-vous lorsque le rendez-vous pris par le Fournisseur ne peut être honoré, ou en cas d’échec de</w:t>
      </w:r>
      <w:r w:rsidR="00754CE7">
        <w:t xml:space="preserve"> </w:t>
      </w:r>
      <w:r w:rsidRPr="00FA158B">
        <w:t>télé</w:t>
      </w:r>
      <w:r w:rsidR="00547899" w:rsidRPr="00FA158B">
        <w:t>-</w:t>
      </w:r>
      <w:r w:rsidRPr="00FA158B">
        <w:t>opération pour les Clients équipés d’un Compteur Communicant ;</w:t>
      </w:r>
    </w:p>
    <w:p w14:paraId="28A47354" w14:textId="77777777" w:rsidR="00F97290" w:rsidRPr="00FA158B" w:rsidRDefault="00F97290" w:rsidP="00DC643C">
      <w:pPr>
        <w:pStyle w:val="SPuce"/>
      </w:pPr>
      <w:proofErr w:type="gramStart"/>
      <w:r w:rsidRPr="00FA158B">
        <w:lastRenderedPageBreak/>
        <w:t>établissement</w:t>
      </w:r>
      <w:proofErr w:type="gramEnd"/>
      <w:r w:rsidRPr="00FA158B">
        <w:t xml:space="preserve">, modification, contrôle, entretien, renouvellement et relevé des Dispositifs de Comptage, conformément au chapitre </w:t>
      </w:r>
      <w:r w:rsidR="00983D6B" w:rsidRPr="00FA158B">
        <w:fldChar w:fldCharType="begin"/>
      </w:r>
      <w:r w:rsidR="00983D6B" w:rsidRPr="00FA158B">
        <w:instrText xml:space="preserve"> REF _Ref66164610 \r \h  \* MERGEFORMAT </w:instrText>
      </w:r>
      <w:r w:rsidR="00983D6B" w:rsidRPr="00FA158B">
        <w:fldChar w:fldCharType="separate"/>
      </w:r>
      <w:r w:rsidR="005E7E99">
        <w:t>3</w:t>
      </w:r>
      <w:r w:rsidR="00983D6B" w:rsidRPr="00FA158B">
        <w:fldChar w:fldCharType="end"/>
      </w:r>
      <w:r w:rsidRPr="00FA158B">
        <w:t xml:space="preserve"> des présentes dispositions générales ;</w:t>
      </w:r>
    </w:p>
    <w:p w14:paraId="47E93448" w14:textId="77777777" w:rsidR="00F97290" w:rsidRPr="00FA158B" w:rsidRDefault="00F97290" w:rsidP="00DC643C">
      <w:pPr>
        <w:pStyle w:val="SPuce"/>
      </w:pPr>
      <w:proofErr w:type="gramStart"/>
      <w:r w:rsidRPr="00FA158B">
        <w:t>dépannage</w:t>
      </w:r>
      <w:proofErr w:type="gramEnd"/>
      <w:r w:rsidRPr="00FA158B">
        <w:t xml:space="preserve"> de ces Dispositifs de comptage ;</w:t>
      </w:r>
    </w:p>
    <w:p w14:paraId="58879508" w14:textId="7D9762FA" w:rsidR="00F97290" w:rsidRPr="00FA158B" w:rsidRDefault="00F97290" w:rsidP="00DC643C">
      <w:pPr>
        <w:pStyle w:val="SPuce"/>
      </w:pPr>
      <w:proofErr w:type="gramStart"/>
      <w:r w:rsidRPr="00FA158B">
        <w:t>réclamation</w:t>
      </w:r>
      <w:proofErr w:type="gramEnd"/>
      <w:r w:rsidRPr="00FA158B">
        <w:t xml:space="preserve"> mettant en cause directement la responsabilité </w:t>
      </w:r>
      <w:r w:rsidR="0076712A">
        <w:t>du GRD</w:t>
      </w:r>
      <w:r w:rsidRPr="00FA158B">
        <w:t xml:space="preserve"> en manquement à ses obligations, vis-à-vis du Client, mises à sa charge aux termes du contrat GRD-F ;</w:t>
      </w:r>
    </w:p>
    <w:p w14:paraId="646D3CCE" w14:textId="77777777" w:rsidR="00F97290" w:rsidRPr="00FA158B" w:rsidRDefault="00F97290" w:rsidP="00DC643C">
      <w:pPr>
        <w:pStyle w:val="SPuce"/>
      </w:pPr>
      <w:proofErr w:type="gramStart"/>
      <w:r w:rsidRPr="00FA158B">
        <w:t>contrôle</w:t>
      </w:r>
      <w:proofErr w:type="gramEnd"/>
      <w:r w:rsidRPr="00FA158B">
        <w:t xml:space="preserve"> du respect des engagements du Client en matière de qualité et de non-perturbation du RPD, conformément au chapitre </w:t>
      </w:r>
      <w:r w:rsidR="00983D6B" w:rsidRPr="00FA158B">
        <w:fldChar w:fldCharType="begin"/>
      </w:r>
      <w:r w:rsidR="00983D6B" w:rsidRPr="00FA158B">
        <w:instrText xml:space="preserve"> REF _Ref53225394 \r \h  \* MERGEFORMAT </w:instrText>
      </w:r>
      <w:r w:rsidR="00983D6B" w:rsidRPr="00FA158B">
        <w:fldChar w:fldCharType="separate"/>
      </w:r>
      <w:r w:rsidR="005E7E99">
        <w:t>5</w:t>
      </w:r>
      <w:r w:rsidR="00983D6B" w:rsidRPr="00FA158B">
        <w:fldChar w:fldCharType="end"/>
      </w:r>
      <w:r w:rsidRPr="00FA158B">
        <w:t xml:space="preserve"> des présentes dispositions générales ;</w:t>
      </w:r>
    </w:p>
    <w:p w14:paraId="4DC29010" w14:textId="77F51CE8" w:rsidR="00F97290" w:rsidRDefault="00F97290" w:rsidP="00DC643C">
      <w:pPr>
        <w:pStyle w:val="SPuce"/>
      </w:pPr>
      <w:proofErr w:type="gramStart"/>
      <w:r w:rsidRPr="00FA158B">
        <w:t>enquêtes</w:t>
      </w:r>
      <w:proofErr w:type="gramEnd"/>
      <w:r w:rsidRPr="00FA158B">
        <w:t xml:space="preserve"> </w:t>
      </w:r>
      <w:r w:rsidR="0076712A">
        <w:t>que le GRD</w:t>
      </w:r>
      <w:r w:rsidRPr="00FA158B">
        <w:t xml:space="preserve"> peut être amenée à entreprendre auprès des Clients – éventuellement via le Fournisseur - en vue d’améliorer la qualité de ses prestations</w:t>
      </w:r>
      <w:r w:rsidR="009767EE">
        <w:t> ;</w:t>
      </w:r>
    </w:p>
    <w:p w14:paraId="02F9C110" w14:textId="4270419A" w:rsidR="009767EE" w:rsidRPr="00FA158B" w:rsidRDefault="009767EE" w:rsidP="00DC643C">
      <w:pPr>
        <w:pStyle w:val="SPuce"/>
      </w:pPr>
      <w:proofErr w:type="gramStart"/>
      <w:r>
        <w:t>dans</w:t>
      </w:r>
      <w:proofErr w:type="gramEnd"/>
      <w:r>
        <w:t xml:space="preserve"> le cas de modification des ouvrages de raccordement.</w:t>
      </w:r>
    </w:p>
    <w:p w14:paraId="3C1D9EDD" w14:textId="1162DDAE" w:rsidR="00F97290" w:rsidRPr="00FA158B" w:rsidRDefault="00F97290" w:rsidP="009C3752">
      <w:r w:rsidRPr="00FA158B">
        <w:t xml:space="preserve">Les prestations payantes au sens du Catalogue des prestations </w:t>
      </w:r>
      <w:r w:rsidR="0076712A">
        <w:t>du GRD</w:t>
      </w:r>
      <w:r w:rsidRPr="00FA158B">
        <w:t xml:space="preserve"> sont facturées par ce dernier au Fournisseur dans le cadre de l’exécution du contrat GRD-Fournisseur applicable, à charge pour ce dernier de les </w:t>
      </w:r>
      <w:proofErr w:type="spellStart"/>
      <w:r w:rsidRPr="00FA158B">
        <w:t>re-facturer</w:t>
      </w:r>
      <w:proofErr w:type="spellEnd"/>
      <w:r w:rsidRPr="00FA158B">
        <w:t xml:space="preserve"> auprès du Client en application du Contrat Unique. Les éventuelles prestations donnant lieu à un devis préalable font l’objet d’une information au Fournisseur. </w:t>
      </w:r>
    </w:p>
    <w:p w14:paraId="57645116" w14:textId="18E973F6" w:rsidR="00940E58" w:rsidRPr="00FA158B" w:rsidRDefault="00940E58" w:rsidP="00940E58">
      <w:r w:rsidRPr="00FA158B">
        <w:t xml:space="preserve">Dans le cas où </w:t>
      </w:r>
      <w:r w:rsidR="0076712A">
        <w:t>le GRD</w:t>
      </w:r>
      <w:r w:rsidRPr="00FA158B">
        <w:t xml:space="preserve"> n’est pas en mesure d’honorer un rendez-vous, il lui appartient d’en informer le Client, au moins 2 jours ouvrés avant la date fixée. Si elle ne le fait pas et que le rendez-vous est manqué du fait </w:t>
      </w:r>
      <w:r w:rsidR="0076712A">
        <w:t>du GRD</w:t>
      </w:r>
      <w:r w:rsidRPr="00FA158B">
        <w:t xml:space="preserve">, </w:t>
      </w:r>
      <w:r w:rsidR="0076712A">
        <w:t>le GRD</w:t>
      </w:r>
      <w:r w:rsidRPr="00FA158B">
        <w:t xml:space="preserve"> verse automatiquement, au bénéf</w:t>
      </w:r>
      <w:r w:rsidR="002B3E0E">
        <w:t>ice du Client concerné, via son</w:t>
      </w:r>
      <w:r w:rsidRPr="00FA158B">
        <w:t xml:space="preserve"> Fournisseur, un montant égal à celui facturé en cas de déplacement vain.</w:t>
      </w:r>
    </w:p>
    <w:p w14:paraId="3E8799CD" w14:textId="12940E4A" w:rsidR="00940E58" w:rsidRPr="00FA158B" w:rsidRDefault="00940E58" w:rsidP="00940E58">
      <w:r w:rsidRPr="00FA158B">
        <w:t xml:space="preserve">Dans le cas où un rendez-vous nécessaire à la réalisation d’une prestation par </w:t>
      </w:r>
      <w:r w:rsidR="0076712A">
        <w:t>le GRD</w:t>
      </w:r>
      <w:r w:rsidRPr="00FA158B">
        <w:t xml:space="preserve"> est manqué du fait du Client ou du Fournisseur, </w:t>
      </w:r>
      <w:r w:rsidR="0076712A">
        <w:t>le GRD</w:t>
      </w:r>
      <w:r w:rsidRPr="00FA158B">
        <w:t xml:space="preserve"> facture au Fournisseur un frais pour déplacement vain sauf lorsque le Client ou le Fournisseur a reporté ou annulé ce rendez-vous plus de 2 jours ouvrés avant la date fixée. </w:t>
      </w:r>
    </w:p>
    <w:p w14:paraId="73241B05" w14:textId="50E59FE1" w:rsidR="00940E58" w:rsidRPr="00FA158B" w:rsidRDefault="00940E58" w:rsidP="00940E58">
      <w:r w:rsidRPr="00FA158B">
        <w:t xml:space="preserve">Si le Client démontre qu’il n’a pas été en mesure d’honorer, d’annuler ou de reporter ce rendez-vous en raison d’un cas de force majeure, </w:t>
      </w:r>
      <w:r w:rsidR="0076712A">
        <w:t>le GRD</w:t>
      </w:r>
      <w:r w:rsidRPr="00FA158B">
        <w:t xml:space="preserve"> procède alors au remboursement du frais appliqué via son Fournisseur. </w:t>
      </w:r>
    </w:p>
    <w:p w14:paraId="4B2D8EF2" w14:textId="66C55D27" w:rsidR="00F97290" w:rsidRPr="00FA158B" w:rsidRDefault="00F97290" w:rsidP="007239F7">
      <w:pPr>
        <w:spacing w:before="240"/>
      </w:pPr>
      <w:r w:rsidRPr="00FA158B">
        <w:t xml:space="preserve">Le Client peut se prévaloir directement à l’égard </w:t>
      </w:r>
      <w:r w:rsidR="0076712A">
        <w:t>du GRD</w:t>
      </w:r>
      <w:r w:rsidRPr="00FA158B">
        <w:t xml:space="preserve"> des engagements </w:t>
      </w:r>
      <w:r w:rsidR="0076712A">
        <w:t>du GRD</w:t>
      </w:r>
      <w:r w:rsidRPr="00FA158B">
        <w:t xml:space="preserve"> vis-à-vis </w:t>
      </w:r>
      <w:proofErr w:type="gramStart"/>
      <w:r w:rsidRPr="00FA158B">
        <w:t>du Client contenus</w:t>
      </w:r>
      <w:proofErr w:type="gramEnd"/>
      <w:r w:rsidRPr="00FA158B">
        <w:t xml:space="preserve"> dans le contrat GRD-F.</w:t>
      </w:r>
    </w:p>
    <w:p w14:paraId="2DD1A4C5" w14:textId="03D3EB85" w:rsidR="00F97290" w:rsidRPr="00FA158B" w:rsidRDefault="00F97290" w:rsidP="007239F7">
      <w:r w:rsidRPr="00FA158B">
        <w:t xml:space="preserve">Notamment, en cas de </w:t>
      </w:r>
      <w:proofErr w:type="spellStart"/>
      <w:r w:rsidRPr="00FA158B">
        <w:t>non respect</w:t>
      </w:r>
      <w:proofErr w:type="spellEnd"/>
      <w:r w:rsidRPr="00FA158B">
        <w:t xml:space="preserve"> desdits engagements par </w:t>
      </w:r>
      <w:r w:rsidR="0076712A">
        <w:t>le GRD</w:t>
      </w:r>
      <w:r w:rsidRPr="00FA158B">
        <w:t xml:space="preserve">, le Client bénéficie expressément de la possibilité de mettre en jeu la responsabilité contractuelle directe </w:t>
      </w:r>
      <w:r w:rsidR="0076712A">
        <w:t>du GRD</w:t>
      </w:r>
      <w:r w:rsidRPr="00FA158B">
        <w:t>.</w:t>
      </w:r>
    </w:p>
    <w:p w14:paraId="5EAADEA6" w14:textId="00A27CE8" w:rsidR="00F97290" w:rsidRPr="00FA158B" w:rsidRDefault="0076712A" w:rsidP="007239F7">
      <w:pPr>
        <w:spacing w:before="240"/>
      </w:pPr>
      <w:r>
        <w:t>Le GRD</w:t>
      </w:r>
      <w:r w:rsidR="00F97290" w:rsidRPr="00FA158B">
        <w:t xml:space="preserve"> est l’interlocut</w:t>
      </w:r>
      <w:r>
        <w:t>eur</w:t>
      </w:r>
      <w:r w:rsidR="00F97290" w:rsidRPr="00FA158B">
        <w:t xml:space="preserve"> contractuel direct du Client dans le cadre des Conventions distinctes de Raccordement et d’Exploitation, lorsque le Client en est le signataire. Toutefois, le Client a la possibilité d’associer le Fournisseur à ses démarches auprès </w:t>
      </w:r>
      <w:r>
        <w:t>du GRD</w:t>
      </w:r>
      <w:r w:rsidR="00F97290" w:rsidRPr="00FA158B">
        <w:t>.</w:t>
      </w:r>
    </w:p>
    <w:p w14:paraId="5C2C7246" w14:textId="77777777" w:rsidR="00F97290" w:rsidRPr="00FA158B" w:rsidRDefault="00F97290" w:rsidP="009C3752">
      <w:r w:rsidRPr="00FA158B">
        <w:t>S’agissant des Conventions de Raccordement et/ou d’Exploitation préexistantes, les droits et les obligations des Utilisateurs concernés par de telles conventions ne sont pas remis en cause par la conclusion d’un Contrat Unique avec le Client.</w:t>
      </w:r>
    </w:p>
    <w:p w14:paraId="3028DDD1" w14:textId="749E8E52" w:rsidR="00940E58" w:rsidRPr="00FA158B" w:rsidRDefault="00940E58" w:rsidP="007239F7">
      <w:pPr>
        <w:spacing w:before="240"/>
      </w:pPr>
      <w:r w:rsidRPr="00FA158B">
        <w:t xml:space="preserve">Le Fournisseur est le destinataire privilégié des demandes du Client relatives à l’exercice de ses droits sur ses données personnelles mentionnés à l’article </w:t>
      </w:r>
      <w:r w:rsidR="00983D6B" w:rsidRPr="00FA158B">
        <w:fldChar w:fldCharType="begin"/>
      </w:r>
      <w:r w:rsidR="00983D6B" w:rsidRPr="00FA158B">
        <w:instrText xml:space="preserve"> REF _Ref473124533 \r \h  \* MERGEFORMAT </w:instrText>
      </w:r>
      <w:r w:rsidR="00983D6B" w:rsidRPr="00FA158B">
        <w:fldChar w:fldCharType="separate"/>
      </w:r>
      <w:r w:rsidR="005E7E99">
        <w:t>1.6.2</w:t>
      </w:r>
      <w:r w:rsidR="00983D6B" w:rsidRPr="00FA158B">
        <w:fldChar w:fldCharType="end"/>
      </w:r>
      <w:r w:rsidRPr="00FA158B">
        <w:t xml:space="preserve"> de la présente annexe.  </w:t>
      </w:r>
    </w:p>
    <w:p w14:paraId="2AD27477" w14:textId="77777777" w:rsidR="00940E58" w:rsidRPr="00FA158B" w:rsidRDefault="00940E58" w:rsidP="007239F7">
      <w:r w:rsidRPr="00FA158B">
        <w:t>Le Fournisseur, lorsqu’il reçoit d’un Client une demande relative à des données qui concernent le Client et qu’il détient, adresse directement sa réponse au Client. </w:t>
      </w:r>
    </w:p>
    <w:p w14:paraId="66CAD564" w14:textId="42169864" w:rsidR="00940E58" w:rsidRPr="00FA158B" w:rsidRDefault="00940E58" w:rsidP="007239F7">
      <w:r w:rsidRPr="00FA158B">
        <w:t xml:space="preserve">Le Fournisseur, lorsqu’il reçoit d’un Client une demande d’exercice de ses droits relatifs à des données qui concernent le Client et qui sont détenues par </w:t>
      </w:r>
      <w:r w:rsidR="0076712A">
        <w:t>le GRD</w:t>
      </w:r>
      <w:r w:rsidRPr="00FA158B">
        <w:t xml:space="preserve">, communique sans délai la demande à celle-ci via la Plate-forme d’échanges et </w:t>
      </w:r>
      <w:r w:rsidR="0076712A">
        <w:t>le GRD</w:t>
      </w:r>
      <w:r w:rsidR="007239F7" w:rsidRPr="00FA158B">
        <w:t xml:space="preserve"> </w:t>
      </w:r>
      <w:r w:rsidRPr="00FA158B">
        <w:t>adresse sa réponse au Fournisseur, qui la transmet au Client.</w:t>
      </w:r>
    </w:p>
    <w:p w14:paraId="0E694735" w14:textId="6FB4494A" w:rsidR="00940E58" w:rsidRPr="00FA158B" w:rsidRDefault="00940E58" w:rsidP="007239F7">
      <w:r w:rsidRPr="00FA158B">
        <w:t xml:space="preserve">Lorsque le Client adresse directement </w:t>
      </w:r>
      <w:r w:rsidR="0076712A">
        <w:t>au GRD</w:t>
      </w:r>
      <w:r w:rsidRPr="00FA158B">
        <w:t xml:space="preserve"> sa demande portant sur des données détenues par cette dernière, la réponse est portée directement par </w:t>
      </w:r>
      <w:r w:rsidR="0076712A">
        <w:t>le GRD</w:t>
      </w:r>
      <w:r w:rsidRPr="00FA158B">
        <w:t xml:space="preserve"> au Client. </w:t>
      </w:r>
      <w:r w:rsidR="0076712A">
        <w:t>Le GRD</w:t>
      </w:r>
      <w:r w:rsidRPr="00FA158B">
        <w:t xml:space="preserve"> informe le Fournisseur de la réponse apportée au Client.</w:t>
      </w:r>
    </w:p>
    <w:p w14:paraId="77DD629D" w14:textId="726C7E56" w:rsidR="00940E58" w:rsidRPr="00FA158B" w:rsidRDefault="00940E58" w:rsidP="00940E58">
      <w:pPr>
        <w:pStyle w:val="Titre2"/>
      </w:pPr>
      <w:bookmarkStart w:id="36" w:name="_Ref473130061"/>
      <w:bookmarkStart w:id="37" w:name="_Toc21422392"/>
      <w:r w:rsidRPr="00FA158B">
        <w:t xml:space="preserve">Protection des informations commercialement sensibles et des données </w:t>
      </w:r>
      <w:r w:rsidR="0076712A" w:rsidRPr="00FA158B">
        <w:t>à</w:t>
      </w:r>
      <w:r w:rsidRPr="00FA158B">
        <w:t xml:space="preserve"> caractère personnel</w:t>
      </w:r>
      <w:bookmarkEnd w:id="36"/>
      <w:bookmarkEnd w:id="37"/>
    </w:p>
    <w:p w14:paraId="031D213E" w14:textId="77777777" w:rsidR="00940E58" w:rsidRPr="00FA158B" w:rsidRDefault="00940E58" w:rsidP="00940E58">
      <w:pPr>
        <w:pStyle w:val="Titre3"/>
      </w:pPr>
      <w:bookmarkStart w:id="38" w:name="_Toc21422393"/>
      <w:r w:rsidRPr="00FA158B">
        <w:t>Protection des informations commercialement sensibles</w:t>
      </w:r>
      <w:bookmarkEnd w:id="38"/>
      <w:r w:rsidRPr="00FA158B">
        <w:t> </w:t>
      </w:r>
    </w:p>
    <w:p w14:paraId="0F90F2E9" w14:textId="3B94E15F" w:rsidR="00940E58" w:rsidRPr="00FA158B" w:rsidRDefault="0076712A" w:rsidP="00940E58">
      <w:pPr>
        <w:rPr>
          <w:rFonts w:ascii="Calibri" w:hAnsi="Calibri" w:cs="Arial"/>
        </w:rPr>
      </w:pPr>
      <w:r>
        <w:rPr>
          <w:rFonts w:ascii="Calibri" w:hAnsi="Calibri" w:cs="Arial"/>
        </w:rPr>
        <w:t>Le GRD</w:t>
      </w:r>
      <w:r w:rsidR="00940E58" w:rsidRPr="00FA158B">
        <w:rPr>
          <w:rFonts w:ascii="Calibri" w:hAnsi="Calibri" w:cs="Arial"/>
        </w:rPr>
        <w:t xml:space="preserve"> préserve la confidentialité des informations d’ordre économique, commercial, industriel, financier ou technique dont </w:t>
      </w:r>
      <w:r>
        <w:rPr>
          <w:rFonts w:ascii="Calibri" w:hAnsi="Calibri" w:cs="Arial"/>
        </w:rPr>
        <w:t>il</w:t>
      </w:r>
      <w:r w:rsidRPr="00FA158B">
        <w:rPr>
          <w:rFonts w:ascii="Calibri" w:hAnsi="Calibri" w:cs="Arial"/>
        </w:rPr>
        <w:t xml:space="preserve"> </w:t>
      </w:r>
      <w:r w:rsidR="00940E58" w:rsidRPr="00FA158B">
        <w:rPr>
          <w:rFonts w:ascii="Calibri" w:hAnsi="Calibri" w:cs="Arial"/>
        </w:rPr>
        <w:t>a connaissance dans l’exercice de ses missions, conformément aux dispositions de l’article L111-73 du code de l’énergie.</w:t>
      </w:r>
    </w:p>
    <w:p w14:paraId="46C38EA4" w14:textId="77777777" w:rsidR="00940E58" w:rsidRPr="00FA158B" w:rsidRDefault="00940E58" w:rsidP="00940E58">
      <w:pPr>
        <w:pStyle w:val="Titre3"/>
      </w:pPr>
      <w:bookmarkStart w:id="39" w:name="_Toc21422394"/>
      <w:bookmarkStart w:id="40" w:name="_Ref473124533"/>
      <w:r w:rsidRPr="00FA158B">
        <w:lastRenderedPageBreak/>
        <w:t>Protection des données à caractère personnel</w:t>
      </w:r>
      <w:bookmarkEnd w:id="39"/>
      <w:r w:rsidRPr="00FA158B">
        <w:t> </w:t>
      </w:r>
      <w:bookmarkEnd w:id="40"/>
    </w:p>
    <w:p w14:paraId="46EDDED8" w14:textId="2A2414BE" w:rsidR="0076712A" w:rsidRDefault="0076712A" w:rsidP="00082BFF">
      <w:r>
        <w:t>Le GRD</w:t>
      </w:r>
      <w:r w:rsidRPr="00FA158B">
        <w:t xml:space="preserve"> </w:t>
      </w:r>
      <w:r w:rsidR="00940E58" w:rsidRPr="00FA158B">
        <w:t>protège</w:t>
      </w:r>
      <w:r w:rsidR="00442A7C">
        <w:t>, collecte et traite</w:t>
      </w:r>
      <w:r w:rsidR="00940E58" w:rsidRPr="00FA158B">
        <w:t xml:space="preserve"> les données à caractère personnel</w:t>
      </w:r>
      <w:r w:rsidR="00442A7C">
        <w:t>, conformément à la règlement</w:t>
      </w:r>
      <w:r w:rsidR="002B3E0E">
        <w:t>ation</w:t>
      </w:r>
      <w:r w:rsidR="00442A7C">
        <w:t xml:space="preserve"> relative à la protection des données personnelles et, en particulier de</w:t>
      </w:r>
      <w:r w:rsidR="00940E58" w:rsidRPr="00FA158B">
        <w:t xml:space="preserve"> la loi n° 78-17 du 6 janvier 1978 modifiée, relative à l’informatique, aux fichiers et aux libertés, dite « Informatique et Libertés »</w:t>
      </w:r>
      <w:r w:rsidR="00442A7C">
        <w:t xml:space="preserve"> et </w:t>
      </w:r>
      <w:r w:rsidR="00FC25B8">
        <w:t xml:space="preserve">le </w:t>
      </w:r>
      <w:r w:rsidR="0024429D">
        <w:t>RGPD</w:t>
      </w:r>
      <w:r>
        <w:t>.</w:t>
      </w:r>
    </w:p>
    <w:p w14:paraId="2BE57FA4" w14:textId="4CA55F47" w:rsidR="00082BFF" w:rsidRDefault="0076712A" w:rsidP="00082BFF">
      <w:r>
        <w:t>Le GRD</w:t>
      </w:r>
      <w:r w:rsidR="00082BFF">
        <w:t xml:space="preserve"> ne fait pas de prospection commerciale et ne vend aucune donnée. </w:t>
      </w:r>
    </w:p>
    <w:p w14:paraId="1E5E8CE6" w14:textId="2C48E999" w:rsidR="00082BFF" w:rsidRDefault="0076712A" w:rsidP="00082BFF">
      <w:r>
        <w:t>Le GRD</w:t>
      </w:r>
      <w:r w:rsidR="00082BFF">
        <w:t xml:space="preserve"> traite les données personnelles collectées et transmises par les fournisseurs pour l’exercice de ses missions. </w:t>
      </w:r>
    </w:p>
    <w:p w14:paraId="2C50109F" w14:textId="77777777" w:rsidR="00082BFF" w:rsidRDefault="00082BFF" w:rsidP="00082BFF">
      <w:r>
        <w:t xml:space="preserve">Il s’agit notamment du nom, prénom, civilité, adresse du PDL (Point de Livraison), l’adresse postale et le cas échéant, des données complémentaires : mail du Client et/ou son numéro de téléphone. </w:t>
      </w:r>
    </w:p>
    <w:p w14:paraId="169A7F07" w14:textId="44176644" w:rsidR="00082BFF" w:rsidRDefault="0076712A" w:rsidP="00082BFF">
      <w:r>
        <w:t>Le GRD</w:t>
      </w:r>
      <w:r w:rsidR="00082BFF">
        <w:t xml:space="preserve"> collecte plusieurs types d’informations par exemple, les index de consommation et la puissance souscrite qui font l’objet d’un traitement informatique afin de permettre </w:t>
      </w:r>
      <w:r w:rsidR="001D36B4">
        <w:t>au GRD</w:t>
      </w:r>
      <w:r w:rsidR="00082BFF">
        <w:t xml:space="preserve"> d’assurer ses missions de service public telles que définies par le code de l’énergie, notamment en matière de comptage, d’exploitation, d’investissement et de développement du RPD ou l’intégration des énergies renouvelables.</w:t>
      </w:r>
    </w:p>
    <w:p w14:paraId="5A21FD0A" w14:textId="654A968A" w:rsidR="00442A7C" w:rsidRPr="004D661D" w:rsidRDefault="00082BFF" w:rsidP="00442A7C">
      <w:pPr>
        <w:pStyle w:val="SPuce"/>
        <w:spacing w:before="0"/>
        <w:ind w:left="499" w:hanging="357"/>
      </w:pPr>
      <w:r>
        <w:t xml:space="preserve">Les traitements effectués sur les données utilisées et produites par les Compteurs Communicants sont encadrés par le code de l’énergie. Certaines fonctionnalités de paramétrage sont proposées aux Clients. Certaines données sont collectées par défaut. D’autres le sont avec accord du Client : </w:t>
      </w:r>
      <w:r w:rsidR="00940E58" w:rsidRPr="00FA158B">
        <w:t xml:space="preserve"> </w:t>
      </w:r>
      <w:r w:rsidR="00442A7C">
        <w:t xml:space="preserve">par défaut, </w:t>
      </w:r>
      <w:r w:rsidR="0076712A">
        <w:t>le GRD</w:t>
      </w:r>
      <w:r w:rsidR="00442A7C" w:rsidRPr="004D661D">
        <w:t xml:space="preserve"> collecte les données de consommation journalière (consommation globale du </w:t>
      </w:r>
      <w:r w:rsidR="005E7E99">
        <w:t>P</w:t>
      </w:r>
      <w:r w:rsidR="00B54DAA">
        <w:t>RM</w:t>
      </w:r>
      <w:r w:rsidR="00442A7C" w:rsidRPr="004D661D">
        <w:t xml:space="preserve"> sur une journée) pour permettre au Client de consulter gratuitement l’historique de ses consommations, conformément au code de l’énergie.</w:t>
      </w:r>
    </w:p>
    <w:p w14:paraId="64F55FD7" w14:textId="2CA1FC7C" w:rsidR="00442A7C" w:rsidRDefault="00082BFF" w:rsidP="00442A7C">
      <w:pPr>
        <w:pStyle w:val="SPuce"/>
        <w:spacing w:before="0"/>
        <w:ind w:left="499" w:hanging="357"/>
      </w:pPr>
      <w:proofErr w:type="gramStart"/>
      <w:r>
        <w:t>sauf</w:t>
      </w:r>
      <w:proofErr w:type="gramEnd"/>
      <w:r>
        <w:t xml:space="preserve"> opposition du Client, </w:t>
      </w:r>
      <w:r w:rsidR="00442A7C">
        <w:t>l</w:t>
      </w:r>
      <w:r w:rsidR="00442A7C" w:rsidRPr="004D661D">
        <w:t xml:space="preserve">es données de consommation fines (horaires et/ou à la demi-heure) sont conservées par défaut, en local, dans la mémoire du compteur du Client sans transmission </w:t>
      </w:r>
      <w:r w:rsidR="001D36B4">
        <w:t>au GRD</w:t>
      </w:r>
      <w:r w:rsidR="00442A7C" w:rsidRPr="004D661D">
        <w:t xml:space="preserve"> ou au Fournisseur ou à un tiers.</w:t>
      </w:r>
    </w:p>
    <w:p w14:paraId="77628A80" w14:textId="11183CF9" w:rsidR="00082BFF" w:rsidRDefault="00082BFF" w:rsidP="00082BFF">
      <w:r>
        <w:t xml:space="preserve">Ces données de consommation fines (horaire et/ou à la demi-heure) ne sont collectées par </w:t>
      </w:r>
      <w:r w:rsidR="0076712A">
        <w:t>le GRD</w:t>
      </w:r>
      <w:r>
        <w:t xml:space="preserve"> qu'avec le consentement libre, spécifique, éclairé ou univoque du Client ou, de manière ponctuelle lorsqu’elles sont nécessaires à l’accomplissement des missions de service public </w:t>
      </w:r>
      <w:r w:rsidR="0076712A">
        <w:t>du GRD</w:t>
      </w:r>
      <w:r>
        <w:t xml:space="preserve"> définies par le code de l’énergie.</w:t>
      </w:r>
    </w:p>
    <w:p w14:paraId="1A683B0D" w14:textId="7F149985" w:rsidR="00082BFF" w:rsidRDefault="00082BFF" w:rsidP="00082BFF">
      <w:r>
        <w:t xml:space="preserve">La transmission des données de consommation fines (horaires et/ou à la demi-heure) au Fournisseur ou à des tiers ne peut intervenir qu’avec le consentement préalable libre, explicite, éclairé et univoque du Client conformément à la législation sur la protection des données personnelles précitée. </w:t>
      </w:r>
    </w:p>
    <w:p w14:paraId="2BAE2BFA" w14:textId="06962BDB" w:rsidR="00082BFF" w:rsidRDefault="00082BFF" w:rsidP="00082BFF">
      <w:r>
        <w:t xml:space="preserve">Cette autorisation peut être adressée soit directement </w:t>
      </w:r>
      <w:r w:rsidR="0076712A">
        <w:t>au GRD</w:t>
      </w:r>
      <w:r>
        <w:t>, soit via le Fournisseur. Dans ce dernier cas, le Fournisseur s’engage à recueillir le consentement libre, spécifique, éclairé et univoque préalable du Client et à en apporter la preuve sur simple demande d</w:t>
      </w:r>
      <w:r w:rsidR="0081691C">
        <w:t>u</w:t>
      </w:r>
      <w:r w:rsidR="0076712A">
        <w:t xml:space="preserve"> GRD</w:t>
      </w:r>
      <w:r>
        <w:t xml:space="preserve">. </w:t>
      </w:r>
      <w:r w:rsidR="00952E35" w:rsidRPr="00754CE7">
        <w:rPr>
          <w:iCs/>
        </w:rPr>
        <w:t>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w:t>
      </w:r>
      <w:r w:rsidRPr="00754CE7">
        <w:t>.</w:t>
      </w:r>
    </w:p>
    <w:p w14:paraId="6AD497AD" w14:textId="797E08E4" w:rsidR="00082BFF" w:rsidRDefault="00082BFF" w:rsidP="00082BFF">
      <w:r>
        <w:t xml:space="preserve">Les données de consommation ne peuvent être conservées que pour une durée maximum de 24 mois. </w:t>
      </w:r>
      <w:r w:rsidR="00B5245F">
        <w:t>Le GRD</w:t>
      </w:r>
      <w:r>
        <w:t xml:space="preserve"> peut être amené à conserver les données personnelles du Client collectées par le Fournisseur et transmises </w:t>
      </w:r>
      <w:r w:rsidR="0076712A">
        <w:t>au GRD</w:t>
      </w:r>
      <w:r>
        <w:t xml:space="preserve"> (hors données de consommation) pendant toute la durée du contrat unique et pendant une période maximale de 5 ans à compter de la résiliation de ce contrat.</w:t>
      </w:r>
    </w:p>
    <w:p w14:paraId="78CBBB3C" w14:textId="77777777" w:rsidR="00082BFF" w:rsidRDefault="00082BFF" w:rsidP="00082BFF">
      <w:r>
        <w:t>Le Client dispose d’un droit d’accès, de rectification et d’opposition pour des motifs légitimes et d’un droit à la limitation du traitement et à la portabilité aux données à caractère personnel le concernant.</w:t>
      </w:r>
    </w:p>
    <w:p w14:paraId="3ADAE283" w14:textId="73280E15" w:rsidR="00082BFF" w:rsidRDefault="00082BFF" w:rsidP="00082BFF">
      <w:r>
        <w:t xml:space="preserve">Pour exercer son droit de rectification, et de suppression, de limitation et à la portabilité pour les données collectées par le Fournisseur et transmises </w:t>
      </w:r>
      <w:r w:rsidR="0076712A">
        <w:t>au GRD</w:t>
      </w:r>
      <w:r>
        <w:t xml:space="preserve">, le Client contactera son Fournisseur. Le Fournisseur informera </w:t>
      </w:r>
      <w:r w:rsidR="0076712A">
        <w:t>le GRD</w:t>
      </w:r>
      <w:r>
        <w:t xml:space="preserve"> de l’actualisation des données du Client via la Plateforme d’échanges.</w:t>
      </w:r>
    </w:p>
    <w:p w14:paraId="7A307CD9" w14:textId="1999014A" w:rsidR="00082BFF" w:rsidRDefault="00082BFF" w:rsidP="00082BFF">
      <w:r>
        <w:t xml:space="preserve">Dans le cas où le Fournisseur prend également en charge la demande du Client de rectification, de suppression, de limitation et à la portabilité pour les données collectées pour les données collectées et utilisées par </w:t>
      </w:r>
      <w:r w:rsidR="0076712A">
        <w:t>le GRD</w:t>
      </w:r>
      <w:r>
        <w:t xml:space="preserve">, le Fournisseur devra adresser sa demande </w:t>
      </w:r>
      <w:r w:rsidR="0076712A">
        <w:t>au GRD</w:t>
      </w:r>
      <w:r>
        <w:t>.</w:t>
      </w:r>
    </w:p>
    <w:p w14:paraId="24F94F1B" w14:textId="47642854" w:rsidR="00082BFF" w:rsidRPr="000E77FF" w:rsidRDefault="00082BFF" w:rsidP="00082BFF">
      <w:pPr>
        <w:rPr>
          <w:b/>
          <w:bCs/>
          <w:color w:val="auto"/>
        </w:rPr>
      </w:pPr>
      <w:r w:rsidRPr="008212F8">
        <w:t>Le Client peut exercer ce droit directement</w:t>
      </w:r>
      <w:r w:rsidR="00723B2E" w:rsidRPr="008212F8">
        <w:rPr>
          <w:color w:val="FF0000"/>
        </w:rPr>
        <w:t xml:space="preserve"> </w:t>
      </w:r>
      <w:r w:rsidRPr="008212F8">
        <w:t xml:space="preserve">par courrier </w:t>
      </w:r>
      <w:r w:rsidR="0076712A" w:rsidRPr="008212F8">
        <w:t>au GRD</w:t>
      </w:r>
      <w:r w:rsidRPr="008212F8">
        <w:t xml:space="preserve"> </w:t>
      </w:r>
      <w:r w:rsidR="00B80F10" w:rsidRPr="008212F8">
        <w:t>à l’adresse suivante</w:t>
      </w:r>
      <w:r w:rsidR="00167C47" w:rsidRPr="008212F8">
        <w:t> :</w:t>
      </w:r>
      <w:r w:rsidR="00723B2E" w:rsidRPr="008212F8">
        <w:rPr>
          <w:color w:val="FF0000"/>
        </w:rPr>
        <w:t xml:space="preserve"> </w:t>
      </w:r>
      <w:r w:rsidR="00723B2E" w:rsidRPr="008212F8">
        <w:rPr>
          <w:b/>
          <w:bCs/>
          <w:color w:val="auto"/>
        </w:rPr>
        <w:t xml:space="preserve">REGIE ELECTRIQUE de </w:t>
      </w:r>
      <w:r w:rsidR="008212F8" w:rsidRPr="008212F8">
        <w:rPr>
          <w:b/>
          <w:bCs/>
          <w:color w:val="auto"/>
        </w:rPr>
        <w:t>TIGNES</w:t>
      </w:r>
      <w:r w:rsidR="00723B2E" w:rsidRPr="008212F8">
        <w:rPr>
          <w:b/>
          <w:bCs/>
          <w:color w:val="auto"/>
        </w:rPr>
        <w:t xml:space="preserve">, </w:t>
      </w:r>
      <w:r w:rsidR="008212F8" w:rsidRPr="008212F8">
        <w:rPr>
          <w:b/>
          <w:bCs/>
          <w:color w:val="auto"/>
        </w:rPr>
        <w:t>La Combe Folle, BP 52, 73322 TIGNES Cedex.</w:t>
      </w:r>
    </w:p>
    <w:p w14:paraId="41356C61" w14:textId="27022CF6" w:rsidR="00442A7C" w:rsidRDefault="00442A7C" w:rsidP="00442A7C">
      <w:r>
        <w:t xml:space="preserve">Le courrier doit préciser le nom et prénom, adresse actuelle et référence PDL </w:t>
      </w:r>
      <w:proofErr w:type="gramStart"/>
      <w:r>
        <w:t>du Client accompagnée</w:t>
      </w:r>
      <w:proofErr w:type="gramEnd"/>
      <w:r>
        <w:t xml:space="preserve"> d’une pièce justificative d’identité.</w:t>
      </w:r>
    </w:p>
    <w:p w14:paraId="2A49D801" w14:textId="432BF951" w:rsidR="00082BFF" w:rsidRPr="00082BFF" w:rsidRDefault="00082BFF" w:rsidP="00082BFF">
      <w:pPr>
        <w:rPr>
          <w:rFonts w:cstheme="minorHAnsi"/>
        </w:rPr>
      </w:pPr>
      <w:r w:rsidRPr="00082BFF">
        <w:rPr>
          <w:rFonts w:cstheme="minorHAnsi"/>
        </w:rPr>
        <w:lastRenderedPageBreak/>
        <w:t xml:space="preserve">Dans le cas où </w:t>
      </w:r>
      <w:r w:rsidR="00A31C90">
        <w:rPr>
          <w:rFonts w:cstheme="minorHAnsi"/>
        </w:rPr>
        <w:t>le GRD</w:t>
      </w:r>
      <w:r w:rsidRPr="00082BFF">
        <w:rPr>
          <w:rFonts w:cstheme="minorHAnsi"/>
        </w:rPr>
        <w:t xml:space="preserve"> reçoit une demande du Client de rectification, de suppression, de limitation et à la portabilité pour les données collectées par </w:t>
      </w:r>
      <w:r w:rsidR="00A31C90">
        <w:rPr>
          <w:rFonts w:cstheme="minorHAnsi"/>
        </w:rPr>
        <w:t>le GRD</w:t>
      </w:r>
      <w:r w:rsidRPr="00082BFF">
        <w:rPr>
          <w:rFonts w:cstheme="minorHAnsi"/>
        </w:rPr>
        <w:t xml:space="preserve"> exclusivement alors </w:t>
      </w:r>
      <w:r w:rsidR="00A31C90">
        <w:rPr>
          <w:rFonts w:cstheme="minorHAnsi"/>
        </w:rPr>
        <w:t>le GRD</w:t>
      </w:r>
      <w:r w:rsidRPr="00082BFF">
        <w:rPr>
          <w:rFonts w:cstheme="minorHAnsi"/>
        </w:rPr>
        <w:t xml:space="preserve"> traite la demande Client et informe ce dernier qu’il doit s’adresser à son Fournisseur pour les données contractuelles collectées par le Fournisseur.</w:t>
      </w:r>
    </w:p>
    <w:p w14:paraId="2A8DFC32" w14:textId="7154C32B" w:rsidR="00442A7C" w:rsidRDefault="00082BFF" w:rsidP="00082BFF">
      <w:pPr>
        <w:rPr>
          <w:rFonts w:cstheme="minorHAnsi"/>
        </w:rPr>
      </w:pPr>
      <w:r w:rsidRPr="00082BFF">
        <w:rPr>
          <w:rFonts w:cstheme="minorHAnsi"/>
        </w:rPr>
        <w:t xml:space="preserve">Dans le cas où </w:t>
      </w:r>
      <w:r w:rsidR="00A31C90">
        <w:rPr>
          <w:rFonts w:cstheme="minorHAnsi"/>
        </w:rPr>
        <w:t>le GRD</w:t>
      </w:r>
      <w:r w:rsidRPr="00082BFF">
        <w:rPr>
          <w:rFonts w:cstheme="minorHAnsi"/>
        </w:rPr>
        <w:t xml:space="preserve"> reçoit une demande Client de rectification, de suppression, de limitation et à la portabilité pour les données collectées par le Fournisseur, </w:t>
      </w:r>
      <w:r w:rsidR="00A31C90">
        <w:rPr>
          <w:rFonts w:cstheme="minorHAnsi"/>
        </w:rPr>
        <w:t>le GRD</w:t>
      </w:r>
      <w:r w:rsidRPr="00082BFF">
        <w:rPr>
          <w:rFonts w:cstheme="minorHAnsi"/>
        </w:rPr>
        <w:t xml:space="preserve"> informera le Client par courrier que sa demande doit être adressée au Fournisseur.</w:t>
      </w:r>
    </w:p>
    <w:p w14:paraId="2410C73C" w14:textId="77777777" w:rsidR="00442A7C" w:rsidRDefault="00442A7C" w:rsidP="00442A7C">
      <w:pPr>
        <w:rPr>
          <w:rFonts w:cstheme="minorHAnsi"/>
        </w:rPr>
      </w:pPr>
      <w:r>
        <w:rPr>
          <w:rFonts w:cstheme="minorHAnsi"/>
        </w:rPr>
        <w:t>Le Client a le droit d’introduire une réclamation auprès de la CNIL.</w:t>
      </w:r>
    </w:p>
    <w:p w14:paraId="685AC4FF" w14:textId="5108F41B" w:rsidR="00940E58" w:rsidRDefault="00940E58" w:rsidP="00940E58">
      <w:r w:rsidRPr="00FA158B">
        <w:t xml:space="preserve">La collecte de certaines données est obligatoire, notamment l’identité ou la raison sociale et l’adresse du client, et permet </w:t>
      </w:r>
      <w:r w:rsidR="0076712A">
        <w:t>au GRD</w:t>
      </w:r>
      <w:r w:rsidRPr="00FA158B">
        <w:t xml:space="preserve"> d’assurer l’exécution du Contrat Unique signé entre le Client et son Fournisseur, pour l’accès et l’utilisation du RPD géré par </w:t>
      </w:r>
      <w:r w:rsidR="0076712A">
        <w:t>le GRD</w:t>
      </w:r>
      <w:r w:rsidRPr="00FA158B">
        <w:t xml:space="preserve">. Par ailleurs, </w:t>
      </w:r>
      <w:r w:rsidR="0076712A">
        <w:t>le GRD</w:t>
      </w:r>
      <w:r w:rsidRPr="00FA158B">
        <w:t xml:space="preserve"> pourrait être amenée à collecter des informations complémentaires facultatives pour l’exécution du présent contrat mais néanmoins nécessaires dans le cadre de l’exécution de ses missions de service public</w:t>
      </w:r>
      <w:r w:rsidR="00442A7C">
        <w:t xml:space="preserve">, comme l’adresse </w:t>
      </w:r>
      <w:r w:rsidR="008236D6">
        <w:t>électronique</w:t>
      </w:r>
      <w:r w:rsidR="00442A7C">
        <w:t xml:space="preserve"> et le numéro de téléphone</w:t>
      </w:r>
      <w:r w:rsidRPr="00FA158B">
        <w:t>.</w:t>
      </w:r>
    </w:p>
    <w:p w14:paraId="48B969DB" w14:textId="285080B7" w:rsidR="00442A7C" w:rsidRPr="00FA158B" w:rsidRDefault="00442A7C" w:rsidP="00940E58">
      <w:r>
        <w:t xml:space="preserve">Le droit d’opposition et de suppression ne peut être exercé par le Client uniquement pour les données personnelles qui ne sont pas indispensables à l’exercice des obligations </w:t>
      </w:r>
      <w:r w:rsidR="00082BFF">
        <w:t>légales du GRD</w:t>
      </w:r>
      <w:r>
        <w:t>.</w:t>
      </w:r>
    </w:p>
    <w:p w14:paraId="19BA1C7A" w14:textId="77777777" w:rsidR="00F97290" w:rsidRPr="00FA158B" w:rsidRDefault="00F97290" w:rsidP="00DC643C">
      <w:pPr>
        <w:pStyle w:val="Titre1"/>
      </w:pPr>
      <w:bookmarkStart w:id="41" w:name="_Toc21422395"/>
      <w:bookmarkStart w:id="42" w:name="_Toc21422396"/>
      <w:bookmarkStart w:id="43" w:name="_Toc21422397"/>
      <w:bookmarkStart w:id="44" w:name="_Toc21422398"/>
      <w:bookmarkStart w:id="45" w:name="_Toc21422399"/>
      <w:bookmarkStart w:id="46" w:name="_Toc21422400"/>
      <w:bookmarkStart w:id="47" w:name="_Ref151458985"/>
      <w:bookmarkStart w:id="48" w:name="_Toc472522874"/>
      <w:bookmarkStart w:id="49" w:name="_Toc21422401"/>
      <w:bookmarkEnd w:id="41"/>
      <w:bookmarkEnd w:id="42"/>
      <w:bookmarkEnd w:id="43"/>
      <w:bookmarkEnd w:id="44"/>
      <w:bookmarkEnd w:id="45"/>
      <w:bookmarkEnd w:id="46"/>
      <w:r w:rsidRPr="00FA158B">
        <w:t>Raccordement</w:t>
      </w:r>
      <w:bookmarkEnd w:id="7"/>
      <w:bookmarkEnd w:id="8"/>
      <w:bookmarkEnd w:id="9"/>
      <w:bookmarkEnd w:id="47"/>
      <w:bookmarkEnd w:id="48"/>
      <w:bookmarkEnd w:id="49"/>
      <w:r w:rsidRPr="00FA158B">
        <w:t xml:space="preserve"> </w:t>
      </w:r>
    </w:p>
    <w:p w14:paraId="13E344F2" w14:textId="77777777" w:rsidR="00F97290" w:rsidRPr="00FA158B" w:rsidRDefault="00F97290" w:rsidP="009C3752">
      <w:pPr>
        <w:pStyle w:val="Titre2"/>
      </w:pPr>
      <w:bookmarkStart w:id="50" w:name="_Toc52012187"/>
      <w:bookmarkStart w:id="51" w:name="_Toc472522875"/>
      <w:bookmarkStart w:id="52" w:name="_Toc21422402"/>
      <w:bookmarkStart w:id="53" w:name="_Ref40840740"/>
      <w:r w:rsidRPr="00FA158B">
        <w:t>Ouvrages de raccordement</w:t>
      </w:r>
      <w:bookmarkEnd w:id="50"/>
      <w:bookmarkEnd w:id="51"/>
      <w:bookmarkEnd w:id="52"/>
    </w:p>
    <w:p w14:paraId="10D8BC7A" w14:textId="77777777" w:rsidR="00F97290" w:rsidRPr="00FA158B" w:rsidRDefault="00F97290" w:rsidP="009C3752">
      <w:r w:rsidRPr="00FA158B">
        <w:t>Sauf disposition contraire figurant au Contrat Unique, les installations du Site sont desservies par un dispositif unique de raccordement au RPD aboutissant à un seul Point de Livraison défini au Contrat Unique concerné.</w:t>
      </w:r>
    </w:p>
    <w:p w14:paraId="65C34F83" w14:textId="28898C38" w:rsidR="00F97290" w:rsidRPr="00FA158B" w:rsidRDefault="00F97290" w:rsidP="009C3752">
      <w:r w:rsidRPr="00FA158B">
        <w:t xml:space="preserve">Les ouvrages de raccordement situés en amont de la limite de propriété du Site, telle que définie dans le Contrat Unique, ainsi que les ouvrages de raccordement situés en domaine privé, font partie du domaine concédé de distribution publique. En aval de la limite de concession, les installations électriques, à l’exception des appareils de mesure et de contrôle éventuellement fournis par </w:t>
      </w:r>
      <w:r w:rsidR="0076712A">
        <w:t>le GRD</w:t>
      </w:r>
      <w:r w:rsidRPr="00FA158B">
        <w:t xml:space="preserve"> conformément à l’article </w:t>
      </w:r>
      <w:r w:rsidR="00983D6B" w:rsidRPr="00FA158B">
        <w:fldChar w:fldCharType="begin"/>
      </w:r>
      <w:r w:rsidR="00983D6B" w:rsidRPr="00FA158B">
        <w:instrText xml:space="preserve"> REF _Ref128902183 \r \h  \* MERGEFORMAT </w:instrText>
      </w:r>
      <w:r w:rsidR="00983D6B" w:rsidRPr="00FA158B">
        <w:fldChar w:fldCharType="separate"/>
      </w:r>
      <w:r w:rsidR="005E7E99">
        <w:t>3.1.2</w:t>
      </w:r>
      <w:r w:rsidR="00983D6B" w:rsidRPr="00FA158B">
        <w:fldChar w:fldCharType="end"/>
      </w:r>
      <w:r w:rsidRPr="00FA158B">
        <w:t xml:space="preserve"> des présentes dispositions générales, sont sous la responsabilité du Client. </w:t>
      </w:r>
    </w:p>
    <w:p w14:paraId="10CE4177" w14:textId="3FD5189C" w:rsidR="00F97290" w:rsidRPr="00FA158B" w:rsidRDefault="00F97290" w:rsidP="009C3752">
      <w:r w:rsidRPr="00FA158B">
        <w:t xml:space="preserve">Les ouvrages de raccordement sont déterminés par </w:t>
      </w:r>
      <w:r w:rsidR="0076712A">
        <w:t>le GRD</w:t>
      </w:r>
      <w:r w:rsidRPr="00FA158B">
        <w:t xml:space="preserve"> en fonction notamment de la puissance et de la tension de raccordement. </w:t>
      </w:r>
    </w:p>
    <w:p w14:paraId="53B222C8" w14:textId="77777777" w:rsidR="00F97290" w:rsidRPr="00FA158B" w:rsidRDefault="00F97290" w:rsidP="009C3752">
      <w:r w:rsidRPr="00FA158B">
        <w:t xml:space="preserve">La Puissance de Raccordement figure au Contrat Unique. </w:t>
      </w:r>
    </w:p>
    <w:p w14:paraId="73ED4777" w14:textId="6D1DF176" w:rsidR="00F97290" w:rsidRPr="00FA158B" w:rsidRDefault="00F97290" w:rsidP="009C3752">
      <w:r w:rsidRPr="00FA158B">
        <w:t xml:space="preserve">La tension de raccordement est proposée par </w:t>
      </w:r>
      <w:r w:rsidR="0076712A">
        <w:t>le GRD</w:t>
      </w:r>
      <w:r w:rsidRPr="00FA158B">
        <w:t xml:space="preserve"> en fonction des contraintes suivantes :</w:t>
      </w:r>
    </w:p>
    <w:p w14:paraId="70DBA740" w14:textId="77777777" w:rsidR="00F97290" w:rsidRPr="00FA158B" w:rsidRDefault="00F97290" w:rsidP="00DC643C">
      <w:pPr>
        <w:pStyle w:val="Paragraphedeliste"/>
        <w:numPr>
          <w:ilvl w:val="0"/>
          <w:numId w:val="12"/>
        </w:numPr>
      </w:pPr>
      <w:r w:rsidRPr="00FA158B">
        <w:t>La tension de raccordement de référence est la plus basse possible permettant d’assurer une Puissance Limite supérieure à la Puissance de Raccordement demandée par le Client. La Puissance Limite est déterminée par le Domaine de Tension de raccordement, conformément à l'article 3 de l'arrêté du 17 mars 2003 relatif</w:t>
      </w:r>
      <w:r w:rsidRPr="00FA158B">
        <w:rPr>
          <w:rStyle w:val="lev"/>
          <w:rFonts w:ascii="Calibri" w:hAnsi="Calibri"/>
          <w:szCs w:val="18"/>
        </w:rPr>
        <w:t xml:space="preserve"> </w:t>
      </w:r>
      <w:r w:rsidRPr="00FA158B">
        <w:rPr>
          <w:rStyle w:val="lev"/>
          <w:rFonts w:ascii="Calibri" w:hAnsi="Calibri"/>
          <w:b w:val="0"/>
          <w:szCs w:val="18"/>
        </w:rPr>
        <w:t>aux prescriptions techniques de conception et de fonctionnement pour le raccordement au réseau public de distribution d'une installation de consommation d'énergie électrique.</w:t>
      </w:r>
      <w:r w:rsidRPr="00FA158B">
        <w:t xml:space="preserve"> La Puissance Limite relative à chaque Point de Livraison du Site est précisée dans le Contrat Unique et déterminée comme suit :</w:t>
      </w:r>
    </w:p>
    <w:p w14:paraId="35AC2861" w14:textId="77777777" w:rsidR="00F97290" w:rsidRPr="00FA158B" w:rsidRDefault="00F97290" w:rsidP="009C3752">
      <w:pPr>
        <w:pStyle w:val="Normal1"/>
      </w:pPr>
    </w:p>
    <w:tbl>
      <w:tblPr>
        <w:tblW w:w="504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6"/>
        <w:gridCol w:w="1444"/>
        <w:gridCol w:w="1440"/>
      </w:tblGrid>
      <w:tr w:rsidR="00F97290" w:rsidRPr="00FA158B" w14:paraId="29DAC732" w14:textId="77777777" w:rsidTr="00F97290">
        <w:trPr>
          <w:cantSplit/>
        </w:trPr>
        <w:tc>
          <w:tcPr>
            <w:tcW w:w="2156" w:type="dxa"/>
          </w:tcPr>
          <w:p w14:paraId="2895DAE5" w14:textId="77777777" w:rsidR="00F97290" w:rsidRPr="00FA158B" w:rsidRDefault="00F97290" w:rsidP="00DC643C">
            <w:pPr>
              <w:jc w:val="center"/>
            </w:pPr>
            <w:r w:rsidRPr="00FA158B">
              <w:t>Classe de tension de raccordement</w:t>
            </w:r>
          </w:p>
        </w:tc>
        <w:tc>
          <w:tcPr>
            <w:tcW w:w="2884" w:type="dxa"/>
            <w:gridSpan w:val="2"/>
          </w:tcPr>
          <w:p w14:paraId="17FB4BE0" w14:textId="77777777" w:rsidR="00F97290" w:rsidRPr="00FA158B" w:rsidRDefault="00F97290" w:rsidP="00DC643C">
            <w:pPr>
              <w:jc w:val="center"/>
            </w:pPr>
            <w:r w:rsidRPr="00FA158B">
              <w:t>Puissance Limite en MW</w:t>
            </w:r>
          </w:p>
          <w:p w14:paraId="1E9A8B32" w14:textId="77777777" w:rsidR="00F97290" w:rsidRPr="00FA158B" w:rsidRDefault="00F97290" w:rsidP="00DC643C">
            <w:pPr>
              <w:jc w:val="center"/>
            </w:pPr>
            <w:r w:rsidRPr="00FA158B">
              <w:t>Plus petite des deux valeurs</w:t>
            </w:r>
          </w:p>
        </w:tc>
      </w:tr>
      <w:tr w:rsidR="00F97290" w:rsidRPr="00FA158B" w14:paraId="5A8DBAA8" w14:textId="77777777" w:rsidTr="00F97290">
        <w:tc>
          <w:tcPr>
            <w:tcW w:w="2156" w:type="dxa"/>
          </w:tcPr>
          <w:p w14:paraId="49188E53" w14:textId="77777777" w:rsidR="00F97290" w:rsidRPr="00FA158B" w:rsidRDefault="00F97290" w:rsidP="00DC643C">
            <w:pPr>
              <w:jc w:val="center"/>
            </w:pPr>
            <w:r w:rsidRPr="00FA158B">
              <w:t>HTA</w:t>
            </w:r>
          </w:p>
        </w:tc>
        <w:tc>
          <w:tcPr>
            <w:tcW w:w="1444" w:type="dxa"/>
          </w:tcPr>
          <w:p w14:paraId="4E18D2BB" w14:textId="77777777" w:rsidR="00F97290" w:rsidRPr="00FA158B" w:rsidRDefault="00F97290" w:rsidP="00DC643C">
            <w:pPr>
              <w:jc w:val="center"/>
            </w:pPr>
            <w:r w:rsidRPr="00FA158B">
              <w:t>40</w:t>
            </w:r>
          </w:p>
        </w:tc>
        <w:tc>
          <w:tcPr>
            <w:tcW w:w="1440" w:type="dxa"/>
          </w:tcPr>
          <w:p w14:paraId="29591BD6" w14:textId="77777777" w:rsidR="00F97290" w:rsidRPr="00FA158B" w:rsidRDefault="00F97290" w:rsidP="00DC643C">
            <w:pPr>
              <w:jc w:val="center"/>
            </w:pPr>
            <w:r w:rsidRPr="00FA158B">
              <w:t>100/d</w:t>
            </w:r>
          </w:p>
        </w:tc>
      </w:tr>
    </w:tbl>
    <w:p w14:paraId="0A3E97AD" w14:textId="77777777" w:rsidR="00F97290" w:rsidRPr="00FA158B" w:rsidRDefault="00F97290" w:rsidP="000C0CCD">
      <w:pPr>
        <w:pStyle w:val="Paragraphedeliste"/>
        <w:numPr>
          <w:ilvl w:val="0"/>
          <w:numId w:val="12"/>
        </w:numPr>
        <w:spacing w:before="240"/>
        <w:ind w:left="714" w:hanging="357"/>
        <w:contextualSpacing w:val="0"/>
      </w:pPr>
      <w:proofErr w:type="gramStart"/>
      <w:r w:rsidRPr="00FA158B">
        <w:t>d</w:t>
      </w:r>
      <w:proofErr w:type="gramEnd"/>
      <w:r w:rsidRPr="00FA158B">
        <w:t xml:space="preserve"> désignant la distance, exprimée en km et mesurée selon un tracé techniquement et administrativement réalisable, entre le Point de Livraison et le poste source le plus proche au moment de la conclusion du Contrat Unique.</w:t>
      </w:r>
    </w:p>
    <w:p w14:paraId="1E4D76C1" w14:textId="77777777" w:rsidR="00F97290" w:rsidRPr="00FA158B" w:rsidRDefault="00F97290" w:rsidP="00DC643C">
      <w:pPr>
        <w:pStyle w:val="Paragraphedeliste"/>
        <w:numPr>
          <w:ilvl w:val="0"/>
          <w:numId w:val="12"/>
        </w:numPr>
        <w:ind w:left="714" w:hanging="357"/>
        <w:contextualSpacing w:val="0"/>
      </w:pPr>
      <w:r w:rsidRPr="00FA158B">
        <w:t>Les exigences de qualité et de continuité exprimées par le Client.</w:t>
      </w:r>
    </w:p>
    <w:p w14:paraId="1CD198B7" w14:textId="77777777" w:rsidR="00F97290" w:rsidRPr="00FA158B" w:rsidRDefault="00F97290" w:rsidP="000C0CCD">
      <w:r w:rsidRPr="00FA158B">
        <w:t xml:space="preserve">Le respect des engagements de qualité du Client visés à l’article </w:t>
      </w:r>
      <w:r w:rsidR="00983D6B" w:rsidRPr="00FA158B">
        <w:fldChar w:fldCharType="begin"/>
      </w:r>
      <w:r w:rsidR="00983D6B" w:rsidRPr="00FA158B">
        <w:instrText xml:space="preserve"> REF _Ref151173394 \r \h  \* MERGEFORMAT </w:instrText>
      </w:r>
      <w:r w:rsidR="00983D6B" w:rsidRPr="00FA158B">
        <w:fldChar w:fldCharType="separate"/>
      </w:r>
      <w:r w:rsidR="005E7E99">
        <w:t>5.2</w:t>
      </w:r>
      <w:r w:rsidR="00983D6B" w:rsidRPr="00FA158B">
        <w:fldChar w:fldCharType="end"/>
      </w:r>
      <w:r w:rsidRPr="00FA158B">
        <w:t xml:space="preserve"> des présentes dispositions générales.</w:t>
      </w:r>
    </w:p>
    <w:p w14:paraId="2FDC6CB6" w14:textId="77777777" w:rsidR="00F97290" w:rsidRPr="00FA158B" w:rsidRDefault="00F97290" w:rsidP="000C0CCD">
      <w:r w:rsidRPr="00FA158B">
        <w:lastRenderedPageBreak/>
        <w:t>Les caractéristiques des ouvrages de raccordement du Site sont décrites dans le Contrat Unique concerné et dans la Convention de Raccordement quand elle existe.</w:t>
      </w:r>
    </w:p>
    <w:p w14:paraId="36435FDA" w14:textId="77777777" w:rsidR="00F97290" w:rsidRPr="00FA158B" w:rsidRDefault="00F97290" w:rsidP="009C3752">
      <w:pPr>
        <w:pStyle w:val="Titre2"/>
      </w:pPr>
      <w:bookmarkStart w:id="54" w:name="_Toc33439692"/>
      <w:bookmarkStart w:id="55" w:name="_Toc33610777"/>
      <w:bookmarkStart w:id="56" w:name="_Toc52001371"/>
      <w:bookmarkStart w:id="57" w:name="_Toc52012188"/>
      <w:bookmarkStart w:id="58" w:name="_Ref138845392"/>
      <w:bookmarkStart w:id="59" w:name="_Toc472522876"/>
      <w:bookmarkStart w:id="60" w:name="_Toc21422403"/>
      <w:r w:rsidRPr="00FA158B">
        <w:t>Evolution des ouvrages de raccordement</w:t>
      </w:r>
      <w:bookmarkEnd w:id="54"/>
      <w:bookmarkEnd w:id="55"/>
      <w:bookmarkEnd w:id="56"/>
      <w:bookmarkEnd w:id="57"/>
      <w:bookmarkEnd w:id="58"/>
      <w:bookmarkEnd w:id="59"/>
      <w:bookmarkEnd w:id="60"/>
    </w:p>
    <w:p w14:paraId="51C110F3" w14:textId="30C51F13" w:rsidR="00F97290" w:rsidRPr="00FA158B" w:rsidRDefault="00F97290" w:rsidP="009C3752">
      <w:r w:rsidRPr="00FA158B">
        <w:t xml:space="preserve">Toute demande d’augmentation de Puissance Souscrite doit respecter les conditions définies au chapitre </w:t>
      </w:r>
      <w:r w:rsidR="00983D6B" w:rsidRPr="00FA158B">
        <w:fldChar w:fldCharType="begin"/>
      </w:r>
      <w:r w:rsidR="00983D6B" w:rsidRPr="00FA158B">
        <w:instrText xml:space="preserve"> REF _Ref54157490 \r \h  \* MERGEFORMAT </w:instrText>
      </w:r>
      <w:r w:rsidR="00983D6B" w:rsidRPr="00FA158B">
        <w:fldChar w:fldCharType="separate"/>
      </w:r>
      <w:r w:rsidR="005E7E99">
        <w:t>4</w:t>
      </w:r>
      <w:r w:rsidR="00983D6B" w:rsidRPr="00FA158B">
        <w:fldChar w:fldCharType="end"/>
      </w:r>
      <w:r w:rsidRPr="00FA158B">
        <w:t xml:space="preserve"> des présentes dispositions générales, faute de quoi ladite demande est considérée comme non recevable par </w:t>
      </w:r>
      <w:r w:rsidR="0076712A">
        <w:t>le GRD</w:t>
      </w:r>
      <w:r w:rsidRPr="00FA158B">
        <w:t>.</w:t>
      </w:r>
    </w:p>
    <w:p w14:paraId="76B4238C" w14:textId="77777777" w:rsidR="00F97290" w:rsidRPr="00FA158B" w:rsidRDefault="00F97290" w:rsidP="009C3752">
      <w:r w:rsidRPr="00FA158B">
        <w:t xml:space="preserve">Dans tous les cas visés à l'article </w:t>
      </w:r>
      <w:r w:rsidR="00983D6B" w:rsidRPr="00FA158B">
        <w:fldChar w:fldCharType="begin"/>
      </w:r>
      <w:r w:rsidR="00983D6B" w:rsidRPr="00FA158B">
        <w:instrText xml:space="preserve"> REF _Ref138845392 \r \h  \* MERGEFORMAT </w:instrText>
      </w:r>
      <w:r w:rsidR="00983D6B" w:rsidRPr="00FA158B">
        <w:fldChar w:fldCharType="separate"/>
      </w:r>
      <w:r w:rsidR="005E7E99">
        <w:t>2.2</w:t>
      </w:r>
      <w:r w:rsidR="00983D6B" w:rsidRPr="00FA158B">
        <w:fldChar w:fldCharType="end"/>
      </w:r>
      <w:r w:rsidRPr="00FA158B">
        <w:t xml:space="preserve"> des présentes dispositions générales, si des travaux sont nécessaires sur les installations du Client situées en aval de la limite de propriété du Site, ils sont réalisés par le Client, à ses frais.</w:t>
      </w:r>
    </w:p>
    <w:p w14:paraId="77C4B9ED" w14:textId="77777777" w:rsidR="00F97290" w:rsidRPr="00FA158B" w:rsidRDefault="00F97290" w:rsidP="000C0CCD">
      <w:pPr>
        <w:pStyle w:val="Titre3"/>
      </w:pPr>
      <w:bookmarkStart w:id="61" w:name="_Ref32055106"/>
      <w:bookmarkStart w:id="62" w:name="_Toc52001372"/>
      <w:bookmarkStart w:id="63" w:name="_Toc52012189"/>
      <w:bookmarkStart w:id="64" w:name="_Toc21422404"/>
      <w:r w:rsidRPr="00FA158B">
        <w:t>Alimentation Principale</w:t>
      </w:r>
      <w:bookmarkEnd w:id="61"/>
      <w:bookmarkEnd w:id="62"/>
      <w:bookmarkEnd w:id="63"/>
      <w:bookmarkEnd w:id="64"/>
    </w:p>
    <w:p w14:paraId="511DB3E8" w14:textId="1545E243" w:rsidR="00F97290" w:rsidRPr="00FA158B" w:rsidRDefault="00F97290" w:rsidP="009C3752">
      <w:r w:rsidRPr="00FA158B">
        <w:t xml:space="preserve">Toute demande d'évolution à la hausse de la Puissance Souscrite du Client donne lieu à la réalisation par </w:t>
      </w:r>
      <w:r w:rsidR="0076712A">
        <w:t>le GRD</w:t>
      </w:r>
      <w:r w:rsidRPr="00FA158B">
        <w:t xml:space="preserve"> d'une étude technique prenant en compte d'une part la totalité des utilisateurs alimentés par les mêmes ouvrages que le Client et d'autre part les puissances maximales admissibles de ceux-ci. Des travaux peuvent s'avérer nécessaires pour répondre à la demande d'augmentation de puissance, auquel cas la nouvelle Puissance Souscrite ne peut être mise à disposition qu'après réalisation desdits travaux.</w:t>
      </w:r>
    </w:p>
    <w:p w14:paraId="7B8B9A07" w14:textId="3F6E397B" w:rsidR="00F97290" w:rsidRPr="00FA158B" w:rsidRDefault="00F97290" w:rsidP="009C3752">
      <w:r w:rsidRPr="00FA158B">
        <w:t>Les délais de réalisation des travaux, dans les cas simples</w:t>
      </w:r>
      <w:r w:rsidRPr="00FA158B">
        <w:footnoteReference w:id="1"/>
      </w:r>
      <w:r w:rsidRPr="00FA158B">
        <w:t xml:space="preserve">, sont communiqués par </w:t>
      </w:r>
      <w:r w:rsidR="0076712A">
        <w:t>le GRD</w:t>
      </w:r>
      <w:r w:rsidRPr="00FA158B">
        <w:t xml:space="preserve"> sous dix jours ouvrés à réception par </w:t>
      </w:r>
      <w:r w:rsidR="0076712A">
        <w:t>le GRD</w:t>
      </w:r>
      <w:r w:rsidRPr="00FA158B">
        <w:t xml:space="preserve"> de la totalité des éléments techniques nécessaires. Dans les autres cas nécessitant des études approfondies, ces délais de réalisation des travaux sont communiqués au plus tard trois mois après réception de la totalité des éléments techniques nécessaires.</w:t>
      </w:r>
    </w:p>
    <w:p w14:paraId="35A0FB13" w14:textId="77777777" w:rsidR="00F97290" w:rsidRPr="00FA158B" w:rsidRDefault="00F97290" w:rsidP="000C0CCD">
      <w:pPr>
        <w:pStyle w:val="Titre4"/>
      </w:pPr>
      <w:r w:rsidRPr="00FA158B">
        <w:t>Demande d'augmentation de Puissance Souscrite, ne conduisant pas à dépasser la Puissance Limite</w:t>
      </w:r>
    </w:p>
    <w:p w14:paraId="7BCCDD8B" w14:textId="77777777" w:rsidR="00F97290" w:rsidRPr="00FA158B" w:rsidRDefault="00F97290" w:rsidP="000C0CCD">
      <w:pPr>
        <w:pStyle w:val="Titre5"/>
      </w:pPr>
      <w:r w:rsidRPr="00FA158B">
        <w:t>Puissance Souscrite supérieure à la Puissance de Raccordement</w:t>
      </w:r>
    </w:p>
    <w:p w14:paraId="7D5C0EEF" w14:textId="77777777" w:rsidR="00F97290" w:rsidRPr="00FA158B" w:rsidRDefault="00F97290" w:rsidP="009C3752">
      <w:r w:rsidRPr="00FA158B">
        <w:t>Si le Fournisseur demande une augmentation de Puissance Souscrite conduisant à ce que la nouvelle Puissance Souscrite dépasse la Puissance de Raccordement tout en restant inférieure à la Puissance Limite, la nouvelle Puissance de Raccordement est alors ajustée à la nouvelle Puissance Souscrite au titre de l’utilisation du RPD.</w:t>
      </w:r>
    </w:p>
    <w:p w14:paraId="4FB5E753" w14:textId="77777777" w:rsidR="00F97290" w:rsidRPr="00FA158B" w:rsidRDefault="00F97290" w:rsidP="009C3752">
      <w:r w:rsidRPr="00FA158B">
        <w:t>En outre, les règles suivantes sont appliquées :</w:t>
      </w:r>
    </w:p>
    <w:p w14:paraId="107848C7" w14:textId="02A00399" w:rsidR="00F97290" w:rsidRPr="00FA158B" w:rsidRDefault="00A8767A" w:rsidP="000C0CCD">
      <w:pPr>
        <w:pStyle w:val="SPuce"/>
      </w:pPr>
      <w:proofErr w:type="gramStart"/>
      <w:r w:rsidRPr="00FA158B">
        <w:t>s</w:t>
      </w:r>
      <w:r w:rsidR="00F97290" w:rsidRPr="00FA158B">
        <w:t>i</w:t>
      </w:r>
      <w:proofErr w:type="gramEnd"/>
      <w:r w:rsidR="00F97290" w:rsidRPr="00FA158B">
        <w:t xml:space="preserve"> la Puissance Souscrite demandée est immédiatement disponible sur le Réseau Public de Distribution sans que l’exécution de travaux soit nécessaire, le Fournisseur en bénéficie immédiatement dans les conditions décrites au chapitre </w:t>
      </w:r>
      <w:r w:rsidR="00983D6B" w:rsidRPr="00FA158B">
        <w:fldChar w:fldCharType="begin"/>
      </w:r>
      <w:r w:rsidR="00983D6B" w:rsidRPr="00FA158B">
        <w:instrText xml:space="preserve"> REF _Ref54157490 \r \h  \* MERGEFORMAT </w:instrText>
      </w:r>
      <w:r w:rsidR="00983D6B" w:rsidRPr="00FA158B">
        <w:fldChar w:fldCharType="separate"/>
      </w:r>
      <w:r w:rsidR="005E7E99">
        <w:t>4</w:t>
      </w:r>
      <w:r w:rsidR="00983D6B" w:rsidRPr="00FA158B">
        <w:fldChar w:fldCharType="end"/>
      </w:r>
      <w:r w:rsidR="00F97290" w:rsidRPr="00FA158B">
        <w:t xml:space="preserve"> des présentes dispositions générales. La nouvelle Puissance de Raccordement est communiquée par </w:t>
      </w:r>
      <w:r w:rsidR="0076712A">
        <w:t>le GRD</w:t>
      </w:r>
      <w:r w:rsidR="00F97290" w:rsidRPr="00FA158B">
        <w:t xml:space="preserve"> au Fournisseur. Le Contrat Unique concerné est modifié par un avenant portant modification de la Puissance de Raccordement et de la Puissance Souscrite et indiquant la date d'effet de la modification. </w:t>
      </w:r>
    </w:p>
    <w:p w14:paraId="718CA3CD" w14:textId="29F556A5" w:rsidR="00F97290" w:rsidRPr="00FA158B" w:rsidRDefault="00A8767A" w:rsidP="000C0CCD">
      <w:pPr>
        <w:pStyle w:val="SPuce"/>
      </w:pPr>
      <w:proofErr w:type="gramStart"/>
      <w:r w:rsidRPr="00FA158B">
        <w:t>d</w:t>
      </w:r>
      <w:r w:rsidR="00F97290" w:rsidRPr="00FA158B">
        <w:t>ans</w:t>
      </w:r>
      <w:proofErr w:type="gramEnd"/>
      <w:r w:rsidR="00F97290" w:rsidRPr="00FA158B">
        <w:t xml:space="preserve"> le cas contraire, les travaux sont réalisés par </w:t>
      </w:r>
      <w:r w:rsidR="0076712A">
        <w:t>le GRD</w:t>
      </w:r>
      <w:r w:rsidR="00F97290" w:rsidRPr="00FA158B">
        <w:t xml:space="preserve"> à la condition que le Fournisseur confirme la demande d’augmentation de la Puissance Souscrite. </w:t>
      </w:r>
      <w:r w:rsidR="0076712A">
        <w:t>Le GRD</w:t>
      </w:r>
      <w:r w:rsidR="00F97290" w:rsidRPr="00FA158B">
        <w:t xml:space="preserve"> et le Client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font l'objet d'une Convention de Raccordement ou d'un avenant à cette dernière si la Convention de Raccordement a déjà été conclue. La nouvelle Puissance de Raccordement est communiquée par </w:t>
      </w:r>
      <w:r w:rsidR="0076712A">
        <w:t>le GRD</w:t>
      </w:r>
      <w:r w:rsidR="00F97290" w:rsidRPr="00FA158B">
        <w:t xml:space="preserve"> au Fournisseur. Le Contrat Unique concerné est également modifié par un avenant portant modification de la Puissance de Raccordement et de la Puissance Souscrite et indiquant la date d'effet de la modification. </w:t>
      </w:r>
    </w:p>
    <w:p w14:paraId="3B74E170" w14:textId="77777777" w:rsidR="00F97290" w:rsidRPr="00FA158B" w:rsidRDefault="00F97290" w:rsidP="000C0CCD">
      <w:pPr>
        <w:pStyle w:val="Titre5"/>
      </w:pPr>
      <w:r w:rsidRPr="00FA158B">
        <w:lastRenderedPageBreak/>
        <w:t>Puissance Souscrite inférieure à la Puissance de Raccordement</w:t>
      </w:r>
    </w:p>
    <w:p w14:paraId="0DF96A2B" w14:textId="77777777" w:rsidR="00F97290" w:rsidRPr="00FA158B" w:rsidRDefault="00F97290" w:rsidP="000C0CCD">
      <w:r w:rsidRPr="00FA158B">
        <w:t xml:space="preserve">Si la Puissance Souscrite demandée est immédiatement disponible sur le Réseau Public de Distribution sans que l’exécution de travaux soit nécessaire, le Fournisseur en bénéficie immédiatement dans les conditions décrites au chapitre </w:t>
      </w:r>
      <w:r w:rsidR="00983D6B" w:rsidRPr="00FA158B">
        <w:fldChar w:fldCharType="begin"/>
      </w:r>
      <w:r w:rsidR="00983D6B" w:rsidRPr="00FA158B">
        <w:instrText xml:space="preserve"> REF _Ref54157490 \r \h  \* MERGEFORMAT </w:instrText>
      </w:r>
      <w:r w:rsidR="00983D6B" w:rsidRPr="00FA158B">
        <w:fldChar w:fldCharType="separate"/>
      </w:r>
      <w:r w:rsidR="005E7E99">
        <w:t>4</w:t>
      </w:r>
      <w:r w:rsidR="00983D6B" w:rsidRPr="00FA158B">
        <w:fldChar w:fldCharType="end"/>
      </w:r>
      <w:r w:rsidRPr="00FA158B">
        <w:t xml:space="preserve"> des présentes dispositions générales.</w:t>
      </w:r>
    </w:p>
    <w:p w14:paraId="346ABD5A" w14:textId="478839EA" w:rsidR="00F97290" w:rsidRPr="00FA158B" w:rsidRDefault="00F97290" w:rsidP="000C0CCD">
      <w:r w:rsidRPr="00FA158B">
        <w:t xml:space="preserve">Dans le cas contraire, les travaux sont réalisés par </w:t>
      </w:r>
      <w:r w:rsidR="0076712A">
        <w:t>le GRD</w:t>
      </w:r>
      <w:r w:rsidRPr="00FA158B">
        <w:t xml:space="preserve"> à la condition que le Fournisseur confirme la demande d’augmentation de la Puissance Souscrite. Le Client et </w:t>
      </w:r>
      <w:r w:rsidR="0076712A">
        <w:t>le GRD</w:t>
      </w:r>
      <w:r w:rsidRPr="00FA158B">
        <w:t xml:space="preserve"> prennent à leur charge le montant des travaux leur incombant, conformément à l'application des dispositions légales et réglementaires en vigueur au moment de la demande.</w:t>
      </w:r>
    </w:p>
    <w:p w14:paraId="7DEEF557" w14:textId="77777777" w:rsidR="00F97290" w:rsidRPr="00FA158B" w:rsidRDefault="00F97290" w:rsidP="000C0CCD">
      <w:pPr>
        <w:pStyle w:val="Titre4"/>
      </w:pPr>
      <w:r w:rsidRPr="00FA158B">
        <w:t>Demande d'augmentation de Puissance Souscrite conduisant à dépasser la Puissance Limite</w:t>
      </w:r>
    </w:p>
    <w:p w14:paraId="53470E07" w14:textId="5C245073" w:rsidR="00F97290" w:rsidRPr="00FA158B" w:rsidRDefault="00F97290" w:rsidP="000C0CCD">
      <w:r w:rsidRPr="00FA158B">
        <w:t xml:space="preserve">Lorsqu'il est possible de réaliser des travaux sur le Réseau Public de Distribution de manière à augmenter la Puissance Limite, tout en restant dans le domaine de tension HTA, lesdits travaux sont réalisés par </w:t>
      </w:r>
      <w:r w:rsidR="0076712A">
        <w:t>le GRD</w:t>
      </w:r>
      <w:r w:rsidRPr="00FA158B">
        <w:t xml:space="preserve">. Si cette demande est confirmée, le Client et </w:t>
      </w:r>
      <w:r w:rsidR="0076712A">
        <w:t>le GRD</w:t>
      </w:r>
      <w:r w:rsidRPr="00FA158B">
        <w:t xml:space="preserve"> prennent à leur charge le montant leur incombant des travaux nécessaires, conformément à l'application des dispositions légales et réglementaires en vigueur au moment de la demande.</w:t>
      </w:r>
    </w:p>
    <w:p w14:paraId="67F21375" w14:textId="77777777" w:rsidR="00F97290" w:rsidRPr="00FA158B" w:rsidRDefault="00F97290" w:rsidP="000C0CCD">
      <w:r w:rsidRPr="00FA158B">
        <w:t>Les conditions de réalisation des travaux susvisés ainsi que toutes les modalités techniques et financières, notamment la nouvelle Puissance Limite et la nouvelle Puissance de Raccordement, sont définies dans une Convention de Raccordement ou dans un avenant à cette dernière si la Convention de Raccordement a déjà été conclue. Le Contrat Unique concerné est également modifié afin d'être mis en conformité avec la Convention de Raccordement.</w:t>
      </w:r>
    </w:p>
    <w:p w14:paraId="4CE16571" w14:textId="77777777" w:rsidR="00F97290" w:rsidRPr="00FA158B" w:rsidRDefault="00F97290" w:rsidP="000C0CCD">
      <w:r w:rsidRPr="00FA158B">
        <w:t>Les nouvelles Puissance Limite et Puissance de Raccordement prennent effet à la date indiquée dans l'avenant.</w:t>
      </w:r>
    </w:p>
    <w:p w14:paraId="7DFD7624" w14:textId="782F3799" w:rsidR="00F97290" w:rsidRPr="00FA158B" w:rsidRDefault="00F97290" w:rsidP="000C0CCD">
      <w:r w:rsidRPr="00FA158B">
        <w:t xml:space="preserve">Dans le cas contraire, le Domaine de Tension de raccordement du Site ne peut plus être la HTA. Le Fournisseur informe alors le Client qu'un raccordement en HTB doit être envisagé, ainsi qu'une adaptation de son dispositif contractuel. </w:t>
      </w:r>
    </w:p>
    <w:p w14:paraId="7FAA37F6" w14:textId="77777777" w:rsidR="00F97290" w:rsidRPr="00FA158B" w:rsidRDefault="00F97290" w:rsidP="000C0CCD">
      <w:pPr>
        <w:pStyle w:val="Titre3"/>
      </w:pPr>
      <w:bookmarkStart w:id="65" w:name="_Ref32291943"/>
      <w:bookmarkStart w:id="66" w:name="_Toc52001373"/>
      <w:bookmarkStart w:id="67" w:name="_Toc52012190"/>
      <w:bookmarkStart w:id="68" w:name="_Toc21422405"/>
      <w:r w:rsidRPr="00FA158B">
        <w:t>Alimentations de Secours et/ou Alimentations Complémentaires</w:t>
      </w:r>
      <w:bookmarkEnd w:id="65"/>
      <w:bookmarkEnd w:id="66"/>
      <w:bookmarkEnd w:id="67"/>
      <w:bookmarkEnd w:id="68"/>
    </w:p>
    <w:p w14:paraId="4031E65B" w14:textId="4674D108" w:rsidR="00F97290" w:rsidRPr="00FA158B" w:rsidRDefault="00F97290" w:rsidP="009C3752">
      <w:r w:rsidRPr="00FA158B">
        <w:t xml:space="preserve">Si le Client souhaite disposer d’une ou plusieurs Alimentation(s) Complémentaires(s) ou Alimentation(s) de Secours, le Client doit en faire la demande </w:t>
      </w:r>
      <w:r w:rsidR="0076712A">
        <w:t>au GRD</w:t>
      </w:r>
      <w:r w:rsidRPr="00FA158B">
        <w:t xml:space="preserve">, via le Fournisseur, par lettre recommandée avec demande d'avis de réception. </w:t>
      </w:r>
    </w:p>
    <w:p w14:paraId="555F12FD" w14:textId="05475818" w:rsidR="00F97290" w:rsidRPr="00FA158B" w:rsidRDefault="00F97290" w:rsidP="009C3752">
      <w:r w:rsidRPr="00FA158B">
        <w:t xml:space="preserve">Si la réalisation de ces Alimentations Complémentaires ou de Secours nécessite l’exécution de travaux sur le Réseau Public de Distribution, ils sont réalisés par </w:t>
      </w:r>
      <w:r w:rsidR="0076712A">
        <w:t>le GRD</w:t>
      </w:r>
      <w:r w:rsidRPr="00FA158B">
        <w:t xml:space="preserve">. Le Client et </w:t>
      </w:r>
      <w:r w:rsidR="0076712A">
        <w:t>le GRD</w:t>
      </w:r>
      <w:r w:rsidRPr="00FA158B">
        <w:t xml:space="preserve"> prennent à leur charge le montant leur incombant des travaux conformément à l'application des dispositions légales et réglementaires en vigueur au moment de la demande.</w:t>
      </w:r>
    </w:p>
    <w:p w14:paraId="3B685D43" w14:textId="77777777" w:rsidR="00F97290" w:rsidRPr="00FA158B" w:rsidRDefault="00F97290" w:rsidP="009C3752">
      <w:r w:rsidRPr="00FA158B">
        <w:t>Les modalités techniques, financières et juridiques relatives à la réalisation de ces travaux sont précisées par la Convention de Raccordement ou par un avenant à cette dernière si la Convention de Raccordement a déjà été conclue.</w:t>
      </w:r>
    </w:p>
    <w:p w14:paraId="2DCE95A7" w14:textId="77777777" w:rsidR="00F97290" w:rsidRPr="00FA158B" w:rsidRDefault="00F97290" w:rsidP="009C3752">
      <w:r w:rsidRPr="00FA158B">
        <w:t xml:space="preserve">Ces Alimentations de Secours ou Alimentations Complémentaires donnent lieu à la facturation de frais complémentaires conformément aux modalités prévues par le TURPE. </w:t>
      </w:r>
    </w:p>
    <w:p w14:paraId="694FF7FD" w14:textId="77777777" w:rsidR="00F97290" w:rsidRPr="00FA158B" w:rsidRDefault="00F97290" w:rsidP="000C0CCD">
      <w:pPr>
        <w:pStyle w:val="Titre3"/>
      </w:pPr>
      <w:bookmarkStart w:id="69" w:name="_Toc527350815"/>
      <w:bookmarkStart w:id="70" w:name="_Ref527365694"/>
      <w:bookmarkStart w:id="71" w:name="_Ref78718384"/>
      <w:bookmarkStart w:id="72" w:name="_Ref114041050"/>
      <w:bookmarkStart w:id="73" w:name="_Toc126125335"/>
      <w:bookmarkStart w:id="74" w:name="_Ref143520264"/>
      <w:bookmarkStart w:id="75" w:name="_Toc21422406"/>
      <w:r w:rsidRPr="00FA158B">
        <w:t>Dispositif particulier de limitation des perturbations sur le Réseau</w:t>
      </w:r>
      <w:bookmarkEnd w:id="69"/>
      <w:bookmarkEnd w:id="70"/>
      <w:bookmarkEnd w:id="71"/>
      <w:bookmarkEnd w:id="72"/>
      <w:bookmarkEnd w:id="73"/>
      <w:bookmarkEnd w:id="74"/>
      <w:bookmarkEnd w:id="75"/>
    </w:p>
    <w:p w14:paraId="3BE99A53" w14:textId="567D2A3A" w:rsidR="00F97290" w:rsidRPr="00FA158B" w:rsidRDefault="00F97290" w:rsidP="009C3752">
      <w:r w:rsidRPr="00FA158B">
        <w:t xml:space="preserve">Si le Client ne respecte pas ses obligations en matière de limitation des perturbations définies à l'article </w:t>
      </w:r>
      <w:r w:rsidR="00983D6B" w:rsidRPr="00FA158B">
        <w:fldChar w:fldCharType="begin"/>
      </w:r>
      <w:r w:rsidR="00983D6B" w:rsidRPr="00FA158B">
        <w:instrText xml:space="preserve"> REF _Ref58223059 \r \h  \* MERGEFORMAT </w:instrText>
      </w:r>
      <w:r w:rsidR="00983D6B" w:rsidRPr="00FA158B">
        <w:fldChar w:fldCharType="separate"/>
      </w:r>
      <w:r w:rsidR="005E7E99">
        <w:t>5.2</w:t>
      </w:r>
      <w:r w:rsidR="00983D6B" w:rsidRPr="00FA158B">
        <w:fldChar w:fldCharType="end"/>
      </w:r>
      <w:r w:rsidRPr="00FA158B">
        <w:t xml:space="preserve"> des présentes dispositions générales, </w:t>
      </w:r>
      <w:r w:rsidR="0076712A">
        <w:t>le GRD</w:t>
      </w:r>
      <w:r w:rsidRPr="00FA158B">
        <w:t xml:space="preserve"> peut prendre toute mesure nécessaire sur le Réseau afin de limiter ces perturbations et d'assurer la sécurité et la sûreté du Réseau. </w:t>
      </w:r>
      <w:r w:rsidR="0076712A">
        <w:t>Le GRD</w:t>
      </w:r>
      <w:r w:rsidRPr="00FA158B">
        <w:t xml:space="preserve"> peut notamment construire des ouvrages complémentaires strictement indispensables à l’élimination de ces perturbations. </w:t>
      </w:r>
    </w:p>
    <w:p w14:paraId="0BD22DD5" w14:textId="1AC9E87C" w:rsidR="00F97290" w:rsidRPr="00FA158B" w:rsidRDefault="00F97290" w:rsidP="009C3752">
      <w:r w:rsidRPr="00FA158B">
        <w:t xml:space="preserve">Si les mesures à mettre en œuvre ne présentent pas un caractère d'urgence, </w:t>
      </w:r>
      <w:r w:rsidR="0076712A">
        <w:t>le GRD</w:t>
      </w:r>
      <w:r w:rsidRPr="00FA158B">
        <w:t xml:space="preserve"> informe préalablement le Fournisseur du Client par lettre recommandée avec demande d'avis de réception</w:t>
      </w:r>
      <w:r w:rsidR="007239F7" w:rsidRPr="00FA158B">
        <w:t xml:space="preserve"> </w:t>
      </w:r>
      <w:r w:rsidRPr="00FA158B">
        <w:t xml:space="preserve">de la nature, de la durée et du coût engendrés par la mise en œuvre de ces mesures. </w:t>
      </w:r>
    </w:p>
    <w:p w14:paraId="19350964" w14:textId="18113426" w:rsidR="00F97290" w:rsidRPr="00FA158B" w:rsidRDefault="00F97290" w:rsidP="009C3752">
      <w:r w:rsidRPr="00FA158B">
        <w:t xml:space="preserve">Si les mesures à mettre en œuvre présentent un caractère d'urgence, notamment en cas d'incident exigeant une réparation immédiate, </w:t>
      </w:r>
      <w:r w:rsidR="0076712A">
        <w:t>le GRD</w:t>
      </w:r>
      <w:r w:rsidRPr="00FA158B">
        <w:t xml:space="preserve"> prend immédiatement les mesures nécessaires et prévient le Client et le Fournisseur dans les meilleurs délais de la nature, de la durée et du coût engendrés par la mise en œuvre de ces mesures.</w:t>
      </w:r>
    </w:p>
    <w:p w14:paraId="22B5FFF8" w14:textId="4E9DAC94" w:rsidR="00F97290" w:rsidRPr="00FA158B" w:rsidRDefault="00F97290" w:rsidP="009C3752">
      <w:r w:rsidRPr="00FA158B">
        <w:t xml:space="preserve">Dans les deux cas susvisés, le coût de l’installation de ces dispositifs particuliers de limitation des perturbations, ainsi que tous les frais ultérieurs y afférant, sont intégralement facturés au Fournisseur par </w:t>
      </w:r>
      <w:r w:rsidR="0076712A">
        <w:t>le GRD</w:t>
      </w:r>
      <w:r w:rsidRPr="00FA158B">
        <w:t>.</w:t>
      </w:r>
    </w:p>
    <w:p w14:paraId="3B29A13D" w14:textId="77777777" w:rsidR="00F97290" w:rsidRPr="00FA158B" w:rsidRDefault="00F97290" w:rsidP="009C3752">
      <w:pPr>
        <w:pStyle w:val="Titre2"/>
      </w:pPr>
      <w:bookmarkStart w:id="76" w:name="_Toc472522877"/>
      <w:bookmarkStart w:id="77" w:name="_Toc21422407"/>
      <w:bookmarkStart w:id="78" w:name="_Toc52012209"/>
      <w:r w:rsidRPr="00FA158B">
        <w:lastRenderedPageBreak/>
        <w:t>Installations du Client</w:t>
      </w:r>
      <w:bookmarkEnd w:id="76"/>
      <w:bookmarkEnd w:id="77"/>
    </w:p>
    <w:p w14:paraId="471B7A53" w14:textId="77777777" w:rsidR="00F97290" w:rsidRPr="00FA158B" w:rsidRDefault="00F97290" w:rsidP="000C0CCD">
      <w:pPr>
        <w:pStyle w:val="Titre3"/>
      </w:pPr>
      <w:bookmarkStart w:id="79" w:name="_Ref165431769"/>
      <w:bookmarkStart w:id="80" w:name="_Toc21422408"/>
      <w:r w:rsidRPr="00FA158B">
        <w:t>Installations du poste de livraison</w:t>
      </w:r>
      <w:bookmarkEnd w:id="79"/>
      <w:bookmarkEnd w:id="80"/>
    </w:p>
    <w:p w14:paraId="0430A1D7" w14:textId="11F28EC6" w:rsidR="00F97290" w:rsidRPr="00FA158B" w:rsidRDefault="00F97290" w:rsidP="009C3752">
      <w:r w:rsidRPr="00FA158B">
        <w:t xml:space="preserve">Les installations du poste de livraison du Client sont placées sous sa responsabilité. Tant pour éviter les troubles dans l’exploitation du Réseau Public de Distribution que pour assurer la sécurité du personnel </w:t>
      </w:r>
      <w:r w:rsidR="0076712A">
        <w:t>du GRD</w:t>
      </w:r>
      <w:r w:rsidRPr="00FA158B">
        <w:t>, elles doivent être établies en conformité aux règlements et normes en vigueur, notamment la norme NF C 13-100, et comprendre tous les aménagements imposés par les règles de l’art. Elles sont réalisées, maintenues et renouvelées aux frais du Client ou du signataire de la Convention de Raccordement quand elle existe.</w:t>
      </w:r>
    </w:p>
    <w:p w14:paraId="58BD66DB" w14:textId="215BEFB7" w:rsidR="00F97290" w:rsidRPr="00FA158B" w:rsidRDefault="00F97290" w:rsidP="009C3752">
      <w:r w:rsidRPr="00FA158B">
        <w:t xml:space="preserve">Pour le raccordement au Réseau Public de Distribution d’une nouvelle installation, les plans et spécifications du matériel sont soumis à l'approbation </w:t>
      </w:r>
      <w:r w:rsidR="0076712A">
        <w:t>du GRD</w:t>
      </w:r>
      <w:r w:rsidRPr="00FA158B">
        <w:t xml:space="preserve"> qui répond sous un mois, à compter de la réception de ces derniers. </w:t>
      </w:r>
    </w:p>
    <w:p w14:paraId="751FD0C6" w14:textId="5F07F248" w:rsidR="00F97290" w:rsidRPr="00FA158B" w:rsidRDefault="00F97290" w:rsidP="009C3752">
      <w:r w:rsidRPr="00FA158B">
        <w:t xml:space="preserve">Toutes les modifications apportées par le Client aux installations de son poste de livraison fonctionnant à la tension de raccordement doivent impérativement être communiquées, via le Fournisseur, </w:t>
      </w:r>
      <w:r w:rsidR="0076712A">
        <w:t>au GRD</w:t>
      </w:r>
      <w:r w:rsidRPr="00FA158B">
        <w:t xml:space="preserve"> pour accord, avant exécution.</w:t>
      </w:r>
    </w:p>
    <w:p w14:paraId="60992760" w14:textId="05649090" w:rsidR="00F97290" w:rsidRPr="00FA158B" w:rsidRDefault="009767EE" w:rsidP="000C0CCD">
      <w:pPr>
        <w:pStyle w:val="Titre3"/>
      </w:pPr>
      <w:bookmarkStart w:id="81" w:name="_Ref148431626"/>
      <w:bookmarkStart w:id="82" w:name="_Toc21422409"/>
      <w:r>
        <w:t>Installations</w:t>
      </w:r>
      <w:r w:rsidRPr="00FA158B">
        <w:t xml:space="preserve"> </w:t>
      </w:r>
      <w:r w:rsidR="00F97290" w:rsidRPr="00FA158B">
        <w:t xml:space="preserve">de </w:t>
      </w:r>
      <w:r>
        <w:t>P</w:t>
      </w:r>
      <w:r w:rsidR="00F97290" w:rsidRPr="00FA158B">
        <w:t>roduction d’électricité du Client</w:t>
      </w:r>
      <w:bookmarkEnd w:id="81"/>
      <w:bookmarkEnd w:id="82"/>
    </w:p>
    <w:p w14:paraId="6E8879FE" w14:textId="0122BCDC" w:rsidR="00F97290" w:rsidRPr="00FA158B" w:rsidRDefault="00F97290" w:rsidP="009C3752">
      <w:r w:rsidRPr="00FA158B">
        <w:t xml:space="preserve">Le Client peut mettre en œuvre des </w:t>
      </w:r>
      <w:r w:rsidR="009767EE">
        <w:t>Installations</w:t>
      </w:r>
      <w:r w:rsidR="009767EE" w:rsidRPr="00FA158B">
        <w:t xml:space="preserve"> </w:t>
      </w:r>
      <w:r w:rsidRPr="00FA158B">
        <w:t xml:space="preserve">de </w:t>
      </w:r>
      <w:r w:rsidR="009767EE">
        <w:t>P</w:t>
      </w:r>
      <w:r w:rsidRPr="00FA158B">
        <w:t>roduction d’électricité raccordé</w:t>
      </w:r>
      <w:r w:rsidR="009767EE">
        <w:t>e</w:t>
      </w:r>
      <w:r w:rsidRPr="00FA158B">
        <w:t xml:space="preserve">s aux installations de son Site, qu’il exploite à ses frais et sous sa seule et entière responsabilité. Ces </w:t>
      </w:r>
      <w:r w:rsidR="009767EE">
        <w:t>Installations</w:t>
      </w:r>
      <w:r w:rsidR="009767EE" w:rsidRPr="00FA158B">
        <w:t xml:space="preserve"> </w:t>
      </w:r>
      <w:r w:rsidRPr="00FA158B">
        <w:t xml:space="preserve">de </w:t>
      </w:r>
      <w:r w:rsidR="009767EE">
        <w:t>P</w:t>
      </w:r>
      <w:r w:rsidRPr="00FA158B">
        <w:t xml:space="preserve">roduction produisent une énergie qui est exclusivement destinée à l'autoconsommation du Client. Conformément au cahier des charges de concession de distribution publique, le Client a l'obligation d'informer </w:t>
      </w:r>
      <w:r w:rsidR="0076712A">
        <w:t>le GRD</w:t>
      </w:r>
      <w:r w:rsidRPr="00FA158B">
        <w:t xml:space="preserve"> au moins un mois avant leur mise en service, des </w:t>
      </w:r>
      <w:r w:rsidR="009767EE">
        <w:t>Installations</w:t>
      </w:r>
      <w:r w:rsidR="009767EE" w:rsidRPr="00FA158B">
        <w:t xml:space="preserve"> </w:t>
      </w:r>
      <w:r w:rsidRPr="00FA158B">
        <w:t xml:space="preserve">de </w:t>
      </w:r>
      <w:r w:rsidR="009767EE">
        <w:t>P</w:t>
      </w:r>
      <w:r w:rsidRPr="00FA158B">
        <w:t>roduction d’électricité raccordé</w:t>
      </w:r>
      <w:r w:rsidR="009767EE">
        <w:t>e</w:t>
      </w:r>
      <w:r w:rsidRPr="00FA158B">
        <w:t xml:space="preserve">s aux installations du Site, de leurs caractéristiques et de toute modification ultérieure de ces </w:t>
      </w:r>
      <w:r w:rsidR="009767EE">
        <w:t>Installations de Production</w:t>
      </w:r>
      <w:r w:rsidRPr="00FA158B">
        <w:t xml:space="preserve">. A cette fin, le Client doit transmettre par lettre recommandée avec demande d’avis de réception les fiches de collecte disponibles sur le </w:t>
      </w:r>
      <w:r w:rsidR="00CE16AE">
        <w:t>Site</w:t>
      </w:r>
      <w:r w:rsidRPr="00FA158B">
        <w:t xml:space="preserve"> internet </w:t>
      </w:r>
      <w:r w:rsidR="0076712A">
        <w:t>du GRD</w:t>
      </w:r>
      <w:r w:rsidRPr="00FA158B">
        <w:t xml:space="preserve"> et les renvoyer aux interlocuteurs désignés sur cet espace. Le Client est tenu d’informer également son Fournisseur au moins un mois avant la mise en œuvre de moyens de production raccordés aux installations du Site.</w:t>
      </w:r>
    </w:p>
    <w:p w14:paraId="04BD099A" w14:textId="7AE445B2" w:rsidR="00F97290" w:rsidRPr="00FA158B" w:rsidRDefault="00F97290" w:rsidP="009C3752">
      <w:r w:rsidRPr="00FA158B">
        <w:t xml:space="preserve">Pour le cas où le Client entendrait céder tout ou partie de l’énergie électrique produite par les installations de son Site, il lui appartiendrait de se rapprocher </w:t>
      </w:r>
      <w:r w:rsidR="0076712A">
        <w:t>du GRD</w:t>
      </w:r>
      <w:r w:rsidRPr="00FA158B">
        <w:t xml:space="preserve">, conformément aux informations figurant sur son </w:t>
      </w:r>
      <w:r w:rsidR="00CE16AE">
        <w:t>Site</w:t>
      </w:r>
      <w:r w:rsidR="002B3E0E">
        <w:t xml:space="preserve"> internet,</w:t>
      </w:r>
      <w:r w:rsidRPr="00FA158B">
        <w:t xml:space="preserve"> pour définir les modalités de souscription d’un contrat relatif à l’injection de ladite énergie sur le Réseau.</w:t>
      </w:r>
    </w:p>
    <w:p w14:paraId="63260407" w14:textId="1D6613DF" w:rsidR="00F97290" w:rsidRPr="00FA158B" w:rsidRDefault="00F97290" w:rsidP="009C3752">
      <w:r w:rsidRPr="00FA158B">
        <w:t xml:space="preserve">L’accord écrit </w:t>
      </w:r>
      <w:r w:rsidR="0076712A">
        <w:t>du GRD</w:t>
      </w:r>
      <w:r w:rsidRPr="00FA158B">
        <w:t xml:space="preserve"> est nécessaire avant la mise en </w:t>
      </w:r>
      <w:r w:rsidR="00A94769" w:rsidRPr="00FA158B">
        <w:t>œuvre</w:t>
      </w:r>
      <w:r w:rsidRPr="00FA158B">
        <w:t xml:space="preserve"> de ces </w:t>
      </w:r>
      <w:r w:rsidR="009767EE">
        <w:t>Installations</w:t>
      </w:r>
      <w:r w:rsidR="009767EE" w:rsidRPr="00FA158B">
        <w:t xml:space="preserve"> </w:t>
      </w:r>
      <w:r w:rsidRPr="00FA158B">
        <w:t xml:space="preserve">de </w:t>
      </w:r>
      <w:r w:rsidR="009767EE">
        <w:t>P</w:t>
      </w:r>
      <w:r w:rsidRPr="00FA158B">
        <w:t xml:space="preserve">roduction. Cet accord porte notamment sur la spécification des matériels utilisés, en particulier sur les dispositifs de protection de découplage, qui doivent être conformes aux dispositions législatives et réglementaires en vigueur ainsi qu’à la documentation technique de référence </w:t>
      </w:r>
      <w:r w:rsidR="0076712A">
        <w:t>du GRD</w:t>
      </w:r>
      <w:r w:rsidRPr="00FA158B">
        <w:t xml:space="preserve"> en vigueur.</w:t>
      </w:r>
    </w:p>
    <w:p w14:paraId="44756B64" w14:textId="701515BF" w:rsidR="00F97290" w:rsidRPr="00FA158B" w:rsidRDefault="00F97290" w:rsidP="009C3752">
      <w:r w:rsidRPr="00FA158B">
        <w:t xml:space="preserve">Le Client s’engage à maintenir les dispositifs de protection de découplage pendant toute la durée du Contrat Unique, et à justifier de leur bon fonctionnement à toute demande </w:t>
      </w:r>
      <w:r w:rsidR="0076712A">
        <w:t>du GRD</w:t>
      </w:r>
      <w:r w:rsidRPr="00FA158B">
        <w:t>.</w:t>
      </w:r>
    </w:p>
    <w:p w14:paraId="67A5B5EA" w14:textId="1D937D3B" w:rsidR="00F97290" w:rsidRPr="00FA158B" w:rsidRDefault="00F97290" w:rsidP="009C3752">
      <w:r w:rsidRPr="00FA158B">
        <w:t>L’existence d</w:t>
      </w:r>
      <w:r w:rsidR="00046F90">
        <w:t>’</w:t>
      </w:r>
      <w:r w:rsidR="009767EE">
        <w:t>Installations</w:t>
      </w:r>
      <w:r w:rsidR="009767EE" w:rsidRPr="00FA158B">
        <w:t xml:space="preserve"> </w:t>
      </w:r>
      <w:r w:rsidRPr="00FA158B">
        <w:t xml:space="preserve">de </w:t>
      </w:r>
      <w:r w:rsidR="009767EE">
        <w:t>P</w:t>
      </w:r>
      <w:r w:rsidRPr="00FA158B">
        <w:t xml:space="preserve">roduction est mentionnée dans le Contrat Unique concerné. Par ailleurs, une Convention d’Exploitation précisant notamment les modalités techniques d’exploitation des </w:t>
      </w:r>
      <w:r w:rsidR="00F03397">
        <w:t>Installations</w:t>
      </w:r>
      <w:r w:rsidR="00F03397" w:rsidRPr="00FA158B">
        <w:t xml:space="preserve"> </w:t>
      </w:r>
      <w:r w:rsidRPr="00FA158B">
        <w:t xml:space="preserve">de </w:t>
      </w:r>
      <w:r w:rsidR="00F03397">
        <w:t>P</w:t>
      </w:r>
      <w:r w:rsidRPr="00FA158B">
        <w:t xml:space="preserve">roduction, pour assurer, en particulier, la sécurité du Réseau Public de Distribution et des tiers, est signée entre le chef de l'établissement et </w:t>
      </w:r>
      <w:r w:rsidR="0076712A">
        <w:t>le GRD</w:t>
      </w:r>
      <w:r w:rsidRPr="00FA158B">
        <w:t xml:space="preserve"> avant la mise en service de tout</w:t>
      </w:r>
      <w:r w:rsidR="00F03397">
        <w:t>e</w:t>
      </w:r>
      <w:r w:rsidRPr="00FA158B">
        <w:t xml:space="preserve"> </w:t>
      </w:r>
      <w:r w:rsidR="00F03397">
        <w:t>Installation</w:t>
      </w:r>
      <w:r w:rsidR="00F03397" w:rsidRPr="00FA158B">
        <w:t xml:space="preserve"> </w:t>
      </w:r>
      <w:r w:rsidRPr="00FA158B">
        <w:t xml:space="preserve">de </w:t>
      </w:r>
      <w:r w:rsidR="00F03397">
        <w:t>P</w:t>
      </w:r>
      <w:r w:rsidRPr="00FA158B">
        <w:t>roduction autonome.</w:t>
      </w:r>
    </w:p>
    <w:p w14:paraId="5B40C300" w14:textId="77777777" w:rsidR="00F97290" w:rsidRPr="00FA158B" w:rsidRDefault="00F97290" w:rsidP="000C0CCD">
      <w:pPr>
        <w:pStyle w:val="Titre3"/>
      </w:pPr>
      <w:bookmarkStart w:id="83" w:name="_Toc21422410"/>
      <w:r w:rsidRPr="00FA158B">
        <w:t>Droit d'accès et de contrôle</w:t>
      </w:r>
      <w:bookmarkEnd w:id="83"/>
      <w:r w:rsidRPr="00FA158B">
        <w:t xml:space="preserve"> </w:t>
      </w:r>
    </w:p>
    <w:p w14:paraId="5E85AD8A" w14:textId="6EE37A35" w:rsidR="00F97290" w:rsidRPr="00FA158B" w:rsidRDefault="00F97290" w:rsidP="009C3752">
      <w:r w:rsidRPr="00FA158B">
        <w:t xml:space="preserve">Pour vérifier le respect des engagements en matière de qualité pris par le Client conformément à l’article </w:t>
      </w:r>
      <w:r w:rsidR="00983D6B" w:rsidRPr="00FA158B">
        <w:fldChar w:fldCharType="begin"/>
      </w:r>
      <w:r w:rsidR="00983D6B" w:rsidRPr="00FA158B">
        <w:instrText xml:space="preserve"> REF _Ref58223059 \r \h  \* MERGEFORMAT </w:instrText>
      </w:r>
      <w:r w:rsidR="00983D6B" w:rsidRPr="00FA158B">
        <w:fldChar w:fldCharType="separate"/>
      </w:r>
      <w:r w:rsidR="005E7E99">
        <w:t>5.2</w:t>
      </w:r>
      <w:r w:rsidR="00983D6B" w:rsidRPr="00FA158B">
        <w:fldChar w:fldCharType="end"/>
      </w:r>
      <w:r w:rsidRPr="00FA158B">
        <w:t xml:space="preserve"> des présentes dispositions générales, </w:t>
      </w:r>
      <w:r w:rsidR="0076712A">
        <w:t>le GRD</w:t>
      </w:r>
      <w:r w:rsidRPr="00FA158B">
        <w:t xml:space="preserve"> est autorisé à pénétrer dans le poste de livraison du Client à tout moment, sous réserve du respect des règles d'accès et de sécurité en vigueur sur le Site, cette vérification étant opérée dans le seul intérêt de la sécurité et de la sûreté du Réseau Public de Distribution. </w:t>
      </w:r>
      <w:r w:rsidR="0076712A">
        <w:t>Le GRD</w:t>
      </w:r>
      <w:r w:rsidRPr="00FA158B">
        <w:t xml:space="preserve"> informe le Client, avec copie au Fournisseur, par tout moyen dans un délai raisonnable de la date et de l'heure de son intervention, sauf si la gravité de la situation nécessite une opération immédiate ; </w:t>
      </w:r>
      <w:r w:rsidR="0076712A">
        <w:t>le GRD</w:t>
      </w:r>
      <w:r w:rsidRPr="00FA158B">
        <w:t xml:space="preserve"> informe alors le Client, avec copie au Fournisseur, dans les meilleurs délais par tout moyen.</w:t>
      </w:r>
    </w:p>
    <w:p w14:paraId="495F7F78" w14:textId="4B259864" w:rsidR="00F97290" w:rsidRPr="00FA158B" w:rsidRDefault="00F97290" w:rsidP="009C3752">
      <w:r w:rsidRPr="00FA158B">
        <w:t xml:space="preserve">Le Client s'engage à prendre toutes les mesures nécessaires afin de permettre </w:t>
      </w:r>
      <w:r w:rsidR="0076712A">
        <w:t>au GRD</w:t>
      </w:r>
      <w:r w:rsidRPr="00FA158B">
        <w:t xml:space="preserve"> de réaliser son intervention sans difficulté et en toute sécurité. La vérification opérée par </w:t>
      </w:r>
      <w:r w:rsidR="0076712A">
        <w:t>le GRD</w:t>
      </w:r>
      <w:r w:rsidRPr="00FA158B">
        <w:t xml:space="preserve"> dans les installations du poste de livraison du Client ne fait encourir aucune responsabilité </w:t>
      </w:r>
      <w:r w:rsidR="0076712A">
        <w:t>au GRD</w:t>
      </w:r>
      <w:r w:rsidRPr="00FA158B">
        <w:t xml:space="preserve"> en cas de défectuosité de celles–ci.</w:t>
      </w:r>
    </w:p>
    <w:p w14:paraId="6FA9ED7E" w14:textId="77777777" w:rsidR="00F97290" w:rsidRPr="00FA158B" w:rsidRDefault="00F97290" w:rsidP="000C0CCD">
      <w:pPr>
        <w:pStyle w:val="Titre3"/>
      </w:pPr>
      <w:bookmarkStart w:id="84" w:name="_Toc21422411"/>
      <w:r w:rsidRPr="00FA158B">
        <w:lastRenderedPageBreak/>
        <w:t>Responsabilité</w:t>
      </w:r>
      <w:bookmarkEnd w:id="84"/>
    </w:p>
    <w:p w14:paraId="6508DEE0" w14:textId="7C53FF2E" w:rsidR="00F97290" w:rsidRPr="00FA158B" w:rsidRDefault="00F97290" w:rsidP="009C3752">
      <w:r w:rsidRPr="00FA158B">
        <w:t xml:space="preserve">Le Client et </w:t>
      </w:r>
      <w:r w:rsidR="0076712A">
        <w:t>le GRD</w:t>
      </w:r>
      <w:r w:rsidRPr="00FA158B">
        <w:t xml:space="preserve"> sont respectivement responsables de tous les actes exécutés par leur personnel dans le poste de livraison. Il est spécifié que le Client s’interdit toute manœuvre ou toute intervention sur les ouvrages de raccordement, sauf convention contraire.</w:t>
      </w:r>
    </w:p>
    <w:p w14:paraId="205B2AFE" w14:textId="77777777" w:rsidR="00F97290" w:rsidRPr="00FA158B" w:rsidRDefault="00F97290" w:rsidP="009C3752">
      <w:pPr>
        <w:pStyle w:val="Titre2"/>
      </w:pPr>
      <w:bookmarkStart w:id="85" w:name="_Toc472522878"/>
      <w:bookmarkStart w:id="86" w:name="_Toc21422412"/>
      <w:r w:rsidRPr="00FA158B">
        <w:t>Mise en service</w:t>
      </w:r>
      <w:bookmarkEnd w:id="85"/>
      <w:bookmarkEnd w:id="86"/>
      <w:r w:rsidRPr="00FA158B">
        <w:t xml:space="preserve"> </w:t>
      </w:r>
    </w:p>
    <w:p w14:paraId="648D102A" w14:textId="77777777" w:rsidR="00F97290" w:rsidRPr="00FA158B" w:rsidRDefault="00F97290" w:rsidP="000C0CCD">
      <w:pPr>
        <w:pStyle w:val="Titre3"/>
      </w:pPr>
      <w:bookmarkStart w:id="87" w:name="_Toc21422413"/>
      <w:r w:rsidRPr="00FA158B">
        <w:t>Mise en service à la suite d’un raccordement nouveau</w:t>
      </w:r>
      <w:bookmarkEnd w:id="87"/>
    </w:p>
    <w:p w14:paraId="12B1F673" w14:textId="0CBB31A2" w:rsidR="00F97290" w:rsidRPr="00FA158B" w:rsidRDefault="00F97290" w:rsidP="009C3752">
      <w:r w:rsidRPr="00FA158B">
        <w:t xml:space="preserve">Le Fournisseur formule une demande de mise en service du Point de Livraison pour le compte du Client, via la Plate-forme d'échanges </w:t>
      </w:r>
      <w:r w:rsidR="0076712A">
        <w:t>du GRD</w:t>
      </w:r>
      <w:r w:rsidRPr="00FA158B">
        <w:t xml:space="preserve">, selon les modalités définies dans les </w:t>
      </w:r>
      <w:r w:rsidR="00CE16AE">
        <w:t>Référentiel</w:t>
      </w:r>
      <w:r w:rsidRPr="00FA158B">
        <w:t xml:space="preserve">s </w:t>
      </w:r>
      <w:r w:rsidR="0076712A">
        <w:t>du GRD</w:t>
      </w:r>
      <w:r w:rsidRPr="00FA158B">
        <w:t xml:space="preserve">. </w:t>
      </w:r>
    </w:p>
    <w:p w14:paraId="50484F6D" w14:textId="046BBECA" w:rsidR="00F97290" w:rsidRPr="00FA158B" w:rsidRDefault="00F97290" w:rsidP="009C3752">
      <w:r w:rsidRPr="00FA158B">
        <w:t xml:space="preserve">A titre d’information, </w:t>
      </w:r>
      <w:r w:rsidR="0076712A">
        <w:t>le GRD</w:t>
      </w:r>
      <w:r w:rsidRPr="00FA158B">
        <w:t xml:space="preserve"> ne peut procéder à la mise en service définitive du Point de Livraison que si les conditions cumulatives suivantes sont satisfaites :</w:t>
      </w:r>
    </w:p>
    <w:p w14:paraId="011BE48A" w14:textId="348301EE" w:rsidR="00F97290" w:rsidRPr="00FA158B" w:rsidRDefault="00F97290" w:rsidP="000C0CCD">
      <w:pPr>
        <w:pStyle w:val="SPuce"/>
      </w:pPr>
      <w:proofErr w:type="gramStart"/>
      <w:r w:rsidRPr="00FA158B">
        <w:t>acceptation</w:t>
      </w:r>
      <w:proofErr w:type="gramEnd"/>
      <w:r w:rsidRPr="00FA158B">
        <w:t xml:space="preserve"> par le Client, ou par le pétitionnaire, du devis établi par </w:t>
      </w:r>
      <w:r w:rsidR="0076712A">
        <w:t>le GRD</w:t>
      </w:r>
      <w:r w:rsidRPr="00FA158B">
        <w:t xml:space="preserve"> pour les éventuels travaux de raccordement et réalisation desdits travaux ;</w:t>
      </w:r>
    </w:p>
    <w:p w14:paraId="261B30BD" w14:textId="77777777" w:rsidR="00F97290" w:rsidRPr="00FA158B" w:rsidRDefault="00F97290" w:rsidP="000C0CCD">
      <w:pPr>
        <w:pStyle w:val="SPuce"/>
      </w:pPr>
      <w:proofErr w:type="gramStart"/>
      <w:r w:rsidRPr="00FA158B">
        <w:t>réalisation</w:t>
      </w:r>
      <w:proofErr w:type="gramEnd"/>
      <w:r w:rsidRPr="00FA158B">
        <w:t xml:space="preserve"> des travaux de raccordement au RPD ;</w:t>
      </w:r>
    </w:p>
    <w:p w14:paraId="7C299BBF" w14:textId="77777777" w:rsidR="00F97290" w:rsidRPr="00FA158B" w:rsidRDefault="00F97290" w:rsidP="000C0CCD">
      <w:pPr>
        <w:pStyle w:val="SPuce"/>
      </w:pPr>
      <w:proofErr w:type="gramStart"/>
      <w:r w:rsidRPr="00FA158B">
        <w:t>réalisation</w:t>
      </w:r>
      <w:proofErr w:type="gramEnd"/>
      <w:r w:rsidRPr="00FA158B">
        <w:t xml:space="preserve"> des travaux éventuellement nécessaires incombant au Client ou au pétitionnaire ;</w:t>
      </w:r>
    </w:p>
    <w:p w14:paraId="6348F8F7" w14:textId="20EDEA4B" w:rsidR="00F97290" w:rsidRPr="00FA158B" w:rsidRDefault="00F97290" w:rsidP="000C0CCD">
      <w:pPr>
        <w:pStyle w:val="SPuce"/>
      </w:pPr>
      <w:proofErr w:type="gramStart"/>
      <w:r w:rsidRPr="00FA158B">
        <w:t>paiement</w:t>
      </w:r>
      <w:proofErr w:type="gramEnd"/>
      <w:r w:rsidRPr="00FA158B">
        <w:t xml:space="preserve"> complet </w:t>
      </w:r>
      <w:r w:rsidR="0076712A">
        <w:t>au GRD</w:t>
      </w:r>
      <w:r w:rsidRPr="00FA158B">
        <w:t xml:space="preserve"> des sommes dues par le Client ou le pétitionnaire ;</w:t>
      </w:r>
    </w:p>
    <w:p w14:paraId="018406A8" w14:textId="62420920" w:rsidR="00F97290" w:rsidRPr="00FA158B" w:rsidRDefault="00F97290" w:rsidP="000C0CCD">
      <w:pPr>
        <w:pStyle w:val="SPuce"/>
      </w:pPr>
      <w:proofErr w:type="gramStart"/>
      <w:r w:rsidRPr="00FA158B">
        <w:t>fourniture</w:t>
      </w:r>
      <w:proofErr w:type="gramEnd"/>
      <w:r w:rsidRPr="00FA158B">
        <w:t xml:space="preserve"> </w:t>
      </w:r>
      <w:r w:rsidR="0076712A">
        <w:t>au GRD</w:t>
      </w:r>
      <w:r w:rsidRPr="00FA158B">
        <w:t>, par le Client ou le pétitionnaire, d'une attestation de conformité des installations électriques intérieures du Client aux règlements et normes de sécurité en vigueur, ceci dès lors que ces installations sont soumises aux dispositions des articles D342-18 à D342-21 du code de l’énergie ;</w:t>
      </w:r>
    </w:p>
    <w:p w14:paraId="4100163A" w14:textId="77777777" w:rsidR="000C0CCD" w:rsidRPr="00FA158B" w:rsidRDefault="00F97290" w:rsidP="000C0CCD">
      <w:pPr>
        <w:pStyle w:val="SPuce"/>
      </w:pPr>
      <w:proofErr w:type="gramStart"/>
      <w:r w:rsidRPr="00FA158B">
        <w:t>installations</w:t>
      </w:r>
      <w:proofErr w:type="gramEnd"/>
      <w:r w:rsidRPr="00FA158B">
        <w:t xml:space="preserve"> du poste de livraison établies en conformité aux règlements et normes en vigueur, notamment la norme NF C 13-100, en application de l'article </w:t>
      </w:r>
      <w:r w:rsidR="00983D6B" w:rsidRPr="00FA158B">
        <w:fldChar w:fldCharType="begin"/>
      </w:r>
      <w:r w:rsidR="00983D6B" w:rsidRPr="00FA158B">
        <w:instrText xml:space="preserve"> REF _Ref165431769 \r \h  \* MERGEFORMAT </w:instrText>
      </w:r>
      <w:r w:rsidR="00983D6B" w:rsidRPr="00FA158B">
        <w:fldChar w:fldCharType="separate"/>
      </w:r>
      <w:r w:rsidR="005E7E99">
        <w:t>2.3.1</w:t>
      </w:r>
      <w:r w:rsidR="00983D6B" w:rsidRPr="00FA158B">
        <w:fldChar w:fldCharType="end"/>
      </w:r>
      <w:r w:rsidR="000C0CCD" w:rsidRPr="00FA158B">
        <w:t>.</w:t>
      </w:r>
    </w:p>
    <w:p w14:paraId="3B617594" w14:textId="2D136270" w:rsidR="00F97290" w:rsidRPr="00FA158B" w:rsidRDefault="00F97290" w:rsidP="009C3752">
      <w:r w:rsidRPr="00FA158B">
        <w:t xml:space="preserve">La mise en service est réalisée selon les modalités définies dans les </w:t>
      </w:r>
      <w:r w:rsidR="00CE16AE">
        <w:t>Référentiel</w:t>
      </w:r>
      <w:r w:rsidRPr="00FA158B">
        <w:t xml:space="preserve">s </w:t>
      </w:r>
      <w:r w:rsidR="0076712A">
        <w:t>du GRD</w:t>
      </w:r>
      <w:r w:rsidRPr="00FA158B">
        <w:t xml:space="preserve"> et dans son Catalogue des prestations.</w:t>
      </w:r>
    </w:p>
    <w:p w14:paraId="24E89126" w14:textId="77777777" w:rsidR="00F97290" w:rsidRPr="00FA158B" w:rsidRDefault="00F97290" w:rsidP="009C3752">
      <w:r w:rsidRPr="00FA158B">
        <w:t>La date de mise en service ne peut être antérieure à la date d'effet du Contrat Unique.</w:t>
      </w:r>
    </w:p>
    <w:p w14:paraId="0915253E" w14:textId="77777777" w:rsidR="00F97290" w:rsidRPr="00FA158B" w:rsidRDefault="00F97290" w:rsidP="000C0CCD">
      <w:pPr>
        <w:pStyle w:val="Titre3"/>
      </w:pPr>
      <w:bookmarkStart w:id="88" w:name="_Toc21422414"/>
      <w:r w:rsidRPr="00FA158B">
        <w:t>Mise en service sur raccordement existant</w:t>
      </w:r>
      <w:bookmarkEnd w:id="88"/>
    </w:p>
    <w:p w14:paraId="0B42651D" w14:textId="44D7AB4D" w:rsidR="00F97290" w:rsidRPr="00FA158B" w:rsidRDefault="00F97290" w:rsidP="009C3752">
      <w:r w:rsidRPr="00FA158B">
        <w:t xml:space="preserve">Le Fournisseur formule une demande de mise en service du Point de Livraison pour le compte du Client, via la Plate-forme d'échanges </w:t>
      </w:r>
      <w:r w:rsidR="0076712A">
        <w:t>du GRD</w:t>
      </w:r>
      <w:r w:rsidRPr="00FA158B">
        <w:t xml:space="preserve">, selon les modalités définies dans les </w:t>
      </w:r>
      <w:r w:rsidR="00CE16AE">
        <w:t>Référentiel</w:t>
      </w:r>
      <w:r w:rsidRPr="00FA158B">
        <w:t xml:space="preserve">s </w:t>
      </w:r>
      <w:r w:rsidR="0076712A">
        <w:t>du GRD</w:t>
      </w:r>
      <w:r w:rsidRPr="00FA158B">
        <w:t>.</w:t>
      </w:r>
    </w:p>
    <w:p w14:paraId="0D2DB5BF" w14:textId="20D37A7F" w:rsidR="00F97290" w:rsidRPr="00FA158B" w:rsidRDefault="00F97290" w:rsidP="009C3752">
      <w:r w:rsidRPr="00FA158B">
        <w:t xml:space="preserve">A titre d’information, </w:t>
      </w:r>
      <w:r w:rsidR="0076712A">
        <w:t>le GRD</w:t>
      </w:r>
      <w:r w:rsidRPr="00FA158B">
        <w:t xml:space="preserve"> ne peut procéder à la mise en service du Point de Livraison que si les conditions cumulatives suivantes sont satisfaites :</w:t>
      </w:r>
    </w:p>
    <w:p w14:paraId="2DA21A4F" w14:textId="77777777" w:rsidR="00F97290" w:rsidRPr="00FA158B" w:rsidRDefault="00F97290" w:rsidP="000C0CCD">
      <w:pPr>
        <w:pStyle w:val="SPuce"/>
      </w:pPr>
      <w:proofErr w:type="gramStart"/>
      <w:r w:rsidRPr="00FA158B">
        <w:t>réalisation</w:t>
      </w:r>
      <w:proofErr w:type="gramEnd"/>
      <w:r w:rsidRPr="00FA158B">
        <w:t xml:space="preserve"> des travaux éventuellement nécessaires incombant au Client ou au pétitionnaire ;</w:t>
      </w:r>
    </w:p>
    <w:p w14:paraId="3ED80BD6" w14:textId="6C0F2596" w:rsidR="00F97290" w:rsidRPr="00FA158B" w:rsidRDefault="00F97290" w:rsidP="000C0CCD">
      <w:pPr>
        <w:pStyle w:val="SPuce"/>
      </w:pPr>
      <w:proofErr w:type="gramStart"/>
      <w:r w:rsidRPr="00FA158B">
        <w:t>fourniture</w:t>
      </w:r>
      <w:proofErr w:type="gramEnd"/>
      <w:r w:rsidRPr="00FA158B">
        <w:t xml:space="preserve"> </w:t>
      </w:r>
      <w:r w:rsidR="0076712A">
        <w:t>au GRD</w:t>
      </w:r>
      <w:r w:rsidRPr="00FA158B">
        <w:t>, par le Client, d'une attestation de conformité des installations électriques intérieures du Client aux règlements et normes de sécurité en vigueur, ceci dès lors que ces installations sont soumises aux dispositions de l’article D342-19 du code de l’énergie (rénovation complète des installations, ayant nécessité une mise hors tension à la demande du Client)</w:t>
      </w:r>
      <w:r w:rsidR="005D44B6" w:rsidRPr="00FA158B">
        <w:t xml:space="preserve"> </w:t>
      </w:r>
      <w:r w:rsidRPr="00FA158B">
        <w:t>;</w:t>
      </w:r>
    </w:p>
    <w:p w14:paraId="014AE0FF" w14:textId="77777777" w:rsidR="00F97290" w:rsidRPr="00FA158B" w:rsidRDefault="00F97290" w:rsidP="000C0CCD">
      <w:pPr>
        <w:pStyle w:val="SPuce"/>
      </w:pPr>
      <w:proofErr w:type="gramStart"/>
      <w:r w:rsidRPr="00FA158B">
        <w:t>installations</w:t>
      </w:r>
      <w:proofErr w:type="gramEnd"/>
      <w:r w:rsidRPr="00FA158B">
        <w:t xml:space="preserve"> du poste de livraison établies en conformité aux règlements et normes en vigueur, notamment la norme NF C 13-100, en application de l'article </w:t>
      </w:r>
      <w:r w:rsidR="00983D6B" w:rsidRPr="00FA158B">
        <w:fldChar w:fldCharType="begin"/>
      </w:r>
      <w:r w:rsidR="00983D6B" w:rsidRPr="00FA158B">
        <w:instrText xml:space="preserve"> REF _Ref165431769 \r \h  \* MERGEFORMAT </w:instrText>
      </w:r>
      <w:r w:rsidR="00983D6B" w:rsidRPr="00FA158B">
        <w:fldChar w:fldCharType="separate"/>
      </w:r>
      <w:r w:rsidR="005E7E99">
        <w:t>2.3.1</w:t>
      </w:r>
      <w:r w:rsidR="00983D6B" w:rsidRPr="00FA158B">
        <w:fldChar w:fldCharType="end"/>
      </w:r>
      <w:r w:rsidR="00A94769" w:rsidRPr="00FA158B">
        <w:t>.</w:t>
      </w:r>
    </w:p>
    <w:p w14:paraId="30A6385B" w14:textId="5BDA834E" w:rsidR="00F97290" w:rsidRPr="00FA158B" w:rsidRDefault="00F97290" w:rsidP="009C3752">
      <w:r w:rsidRPr="00FA158B">
        <w:t xml:space="preserve">La mise en service est réalisée selon les modalités définies dans les </w:t>
      </w:r>
      <w:r w:rsidR="00CE16AE">
        <w:t>Référentiel</w:t>
      </w:r>
      <w:r w:rsidRPr="00FA158B">
        <w:t xml:space="preserve">s </w:t>
      </w:r>
      <w:r w:rsidR="0076712A">
        <w:t>du GRD</w:t>
      </w:r>
      <w:r w:rsidR="00EF3062" w:rsidRPr="00FA158B">
        <w:rPr>
          <w:color w:val="auto"/>
        </w:rPr>
        <w:t xml:space="preserve"> </w:t>
      </w:r>
      <w:r w:rsidRPr="00FA158B">
        <w:t>et dans son Catalogue des prestations.</w:t>
      </w:r>
    </w:p>
    <w:p w14:paraId="73CCCADB" w14:textId="77777777" w:rsidR="00F97290" w:rsidRPr="00FA158B" w:rsidRDefault="00F97290" w:rsidP="009C3752">
      <w:r w:rsidRPr="00FA158B">
        <w:t>La date de mise en service ne peut être antérieure à la date d'effet du Contrat Unique.</w:t>
      </w:r>
    </w:p>
    <w:p w14:paraId="128F2A10" w14:textId="77777777" w:rsidR="00F97290" w:rsidRPr="00FA158B" w:rsidRDefault="00F97290" w:rsidP="009C3752">
      <w:pPr>
        <w:pStyle w:val="Titre2"/>
      </w:pPr>
      <w:bookmarkStart w:id="89" w:name="_Toc472522879"/>
      <w:bookmarkStart w:id="90" w:name="_Toc21422415"/>
      <w:r w:rsidRPr="00FA158B">
        <w:t>Suppression du raccordement du Site au Réseau Public de Distribution</w:t>
      </w:r>
      <w:bookmarkEnd w:id="78"/>
      <w:bookmarkEnd w:id="89"/>
      <w:bookmarkEnd w:id="90"/>
    </w:p>
    <w:p w14:paraId="194D524D" w14:textId="46D2A0BC" w:rsidR="00F97290" w:rsidRPr="00FA158B" w:rsidRDefault="00F97290" w:rsidP="009C3752">
      <w:r w:rsidRPr="00FA158B">
        <w:t xml:space="preserve">La suppression de raccordement est réalisée selon les modalités définies dans les </w:t>
      </w:r>
      <w:r w:rsidR="00CE16AE">
        <w:t>Référentiel</w:t>
      </w:r>
      <w:r w:rsidRPr="00FA158B">
        <w:t xml:space="preserve">s </w:t>
      </w:r>
      <w:r w:rsidR="0076712A">
        <w:t>du GRD</w:t>
      </w:r>
      <w:r w:rsidR="00EF3062" w:rsidRPr="00FA158B">
        <w:rPr>
          <w:color w:val="auto"/>
        </w:rPr>
        <w:t xml:space="preserve"> </w:t>
      </w:r>
      <w:r w:rsidRPr="00FA158B">
        <w:t>et dans son Catalogue des prestations.</w:t>
      </w:r>
    </w:p>
    <w:p w14:paraId="465B0713" w14:textId="77777777" w:rsidR="00F97290" w:rsidRPr="00FA158B" w:rsidRDefault="00F97290" w:rsidP="000C0CCD">
      <w:pPr>
        <w:pStyle w:val="Titre3"/>
      </w:pPr>
      <w:bookmarkStart w:id="91" w:name="_Toc21422416"/>
      <w:r w:rsidRPr="00FA158B">
        <w:lastRenderedPageBreak/>
        <w:t>Cas avec Contrat Unique actif</w:t>
      </w:r>
      <w:bookmarkEnd w:id="91"/>
    </w:p>
    <w:p w14:paraId="2D2B3919" w14:textId="77777777" w:rsidR="00F97290" w:rsidRPr="00FA158B" w:rsidRDefault="00F97290" w:rsidP="009C3752">
      <w:r w:rsidRPr="00FA158B">
        <w:t>Si le Client souhaite interrompre définitivement l’accès au Réseau Public de Distribution du Point de Livraison, il doit au préalable modifier ou résilier le Contrat Unique conclu avec son Fournisseur.</w:t>
      </w:r>
    </w:p>
    <w:p w14:paraId="6E3A3BB6" w14:textId="3FDC8BC7" w:rsidR="00F97290" w:rsidRPr="00FA158B" w:rsidRDefault="00F97290" w:rsidP="009C3752">
      <w:r w:rsidRPr="00FA158B">
        <w:t xml:space="preserve">Avant la date de modification ou de résiliation, le Client, via le Fournisseur, et </w:t>
      </w:r>
      <w:r w:rsidR="0076712A">
        <w:t>le GRD</w:t>
      </w:r>
      <w:r w:rsidRPr="00FA158B">
        <w:t xml:space="preserve"> déterminent d'un commun accord la date de réalisation des travaux nécessaires à la suppression du raccordement. </w:t>
      </w:r>
      <w:r w:rsidR="0076712A">
        <w:t>Le GRD</w:t>
      </w:r>
      <w:r w:rsidRPr="00FA158B">
        <w:t xml:space="preserve"> indique au Client, via le Fournisseur, par lettre recommandée avec demande d'avis de réception, la durée des travaux et leur coût, étant entendu que tous les frais en résultant sont à la charge du Fournisseur. La date d'effet de la suppression effective du raccordement du Site correspond à la date de fin des travaux susvisés ; elle est indiquée à l’issue des travaux par </w:t>
      </w:r>
      <w:r w:rsidR="0076712A">
        <w:t>le GRD</w:t>
      </w:r>
      <w:r w:rsidRPr="00FA158B">
        <w:t xml:space="preserve"> au Fournisseur par lettre recommandée avec demande d'avis de réception.</w:t>
      </w:r>
    </w:p>
    <w:p w14:paraId="4B11A7D5" w14:textId="77777777" w:rsidR="00F97290" w:rsidRPr="00FA158B" w:rsidRDefault="00F97290" w:rsidP="009C3752">
      <w:r w:rsidRPr="00FA158B">
        <w:t>Avant cette date, le poste de livraison exploité par le Client est réputé sous tension. En conséquence le Client est entièrement responsable de tout dommage susceptible d’être causé par ses installations, nonobstant la résiliation du Contrat Unique concerné.</w:t>
      </w:r>
    </w:p>
    <w:p w14:paraId="7F6073D0" w14:textId="77777777" w:rsidR="00F97290" w:rsidRPr="00FA158B" w:rsidRDefault="00F97290" w:rsidP="009C3752">
      <w:r w:rsidRPr="00FA158B">
        <w:t>Si le Client n’est pas le propriétaire du Site, il lui incombe d’informer le propriétaire du maintien sous tension du poste de livraison et de la responsabilité de ce dernier en cas de dommage.</w:t>
      </w:r>
    </w:p>
    <w:p w14:paraId="3247DFCF" w14:textId="77777777" w:rsidR="00F97290" w:rsidRPr="00FA158B" w:rsidRDefault="00F97290" w:rsidP="000C0CCD">
      <w:pPr>
        <w:pStyle w:val="Titre3"/>
      </w:pPr>
      <w:bookmarkStart w:id="92" w:name="_Toc21422417"/>
      <w:r w:rsidRPr="00FA158B">
        <w:t>Cas après résiliation du Contrat Unique concerné</w:t>
      </w:r>
      <w:bookmarkEnd w:id="92"/>
    </w:p>
    <w:p w14:paraId="0A61DBBF" w14:textId="0AEB2451" w:rsidR="00F97290" w:rsidRPr="00FA158B" w:rsidRDefault="00F97290" w:rsidP="009C3752">
      <w:r w:rsidRPr="00FA158B">
        <w:t xml:space="preserve">Si le propriétaire du Site souhaite interrompre définitivement l’accès au Réseau Public de Distribution du Point de Livraison, il se rapproche </w:t>
      </w:r>
      <w:r w:rsidR="0076712A">
        <w:t>du GRD</w:t>
      </w:r>
      <w:r w:rsidRPr="00FA158B">
        <w:t>, qui lui indique la durée des travaux nécessaires et leur coût, étant entendu que tous les frais en résultant sont à la charge du propriétaire du Site.</w:t>
      </w:r>
    </w:p>
    <w:p w14:paraId="6737F62A" w14:textId="79DCF4CA" w:rsidR="00F97290" w:rsidRPr="00FA158B" w:rsidRDefault="00F97290" w:rsidP="009C3752">
      <w:r w:rsidRPr="00FA158B">
        <w:t>La date d'effet de la suppression effective du raccordement du Site correspond à la date de</w:t>
      </w:r>
      <w:r w:rsidRPr="00FA158B" w:rsidDel="000B23F0">
        <w:t xml:space="preserve"> </w:t>
      </w:r>
      <w:r w:rsidRPr="00FA158B">
        <w:t xml:space="preserve">fin des travaux susvisés ; elle est indiquée à l’issue des travaux par </w:t>
      </w:r>
      <w:r w:rsidR="0076712A">
        <w:t>le GRD</w:t>
      </w:r>
      <w:r w:rsidRPr="00FA158B">
        <w:t xml:space="preserve"> au propriétaire du Site par lettre recommandée avec demande d'avis de réception.</w:t>
      </w:r>
    </w:p>
    <w:p w14:paraId="68EBA9E8" w14:textId="77777777" w:rsidR="00F97290" w:rsidRPr="00FA158B" w:rsidRDefault="00F97290" w:rsidP="009C3752">
      <w:r w:rsidRPr="00FA158B">
        <w:t>Avant cette date, le poste de livraison est réputé sous tension. En conséquence le propriétaire du Site est entièrement responsable de tout dommage susceptible d’être causé par ses installations.</w:t>
      </w:r>
    </w:p>
    <w:p w14:paraId="33E224C4" w14:textId="77777777" w:rsidR="00F97290" w:rsidRPr="00FA158B" w:rsidRDefault="00F97290" w:rsidP="00DC643C">
      <w:pPr>
        <w:pStyle w:val="Titre1"/>
      </w:pPr>
      <w:bookmarkStart w:id="93" w:name="_Ref66164610"/>
      <w:bookmarkStart w:id="94" w:name="_Ref66768702"/>
      <w:bookmarkStart w:id="95" w:name="_Toc472522880"/>
      <w:bookmarkStart w:id="96" w:name="_Toc21422418"/>
      <w:bookmarkStart w:id="97" w:name="_Toc33439696"/>
      <w:bookmarkStart w:id="98" w:name="_Toc33610781"/>
      <w:bookmarkStart w:id="99" w:name="_Ref34820680"/>
      <w:bookmarkStart w:id="100" w:name="_Ref34820838"/>
      <w:r w:rsidRPr="00FA158B">
        <w:t>Comptage</w:t>
      </w:r>
      <w:bookmarkEnd w:id="93"/>
      <w:bookmarkEnd w:id="94"/>
      <w:bookmarkEnd w:id="95"/>
      <w:bookmarkEnd w:id="96"/>
    </w:p>
    <w:p w14:paraId="05A933DF" w14:textId="77777777" w:rsidR="00F97290" w:rsidRPr="00FA158B" w:rsidRDefault="00F97290" w:rsidP="009C3752">
      <w:pPr>
        <w:pStyle w:val="Titre2"/>
      </w:pPr>
      <w:bookmarkStart w:id="101" w:name="_Ref35321325"/>
      <w:bookmarkStart w:id="102" w:name="_Toc52012211"/>
      <w:bookmarkStart w:id="103" w:name="_Ref68689025"/>
      <w:bookmarkStart w:id="104" w:name="_Ref68689043"/>
      <w:bookmarkStart w:id="105" w:name="_Toc472522881"/>
      <w:bookmarkStart w:id="106" w:name="_Toc21422419"/>
      <w:bookmarkEnd w:id="97"/>
      <w:bookmarkEnd w:id="98"/>
      <w:bookmarkEnd w:id="99"/>
      <w:bookmarkEnd w:id="100"/>
      <w:r w:rsidRPr="00FA158B">
        <w:t xml:space="preserve">Dispositif de comptage </w:t>
      </w:r>
      <w:bookmarkEnd w:id="101"/>
      <w:bookmarkEnd w:id="102"/>
      <w:bookmarkEnd w:id="103"/>
      <w:bookmarkEnd w:id="104"/>
      <w:r w:rsidRPr="00FA158B">
        <w:t>et de contrôle</w:t>
      </w:r>
      <w:bookmarkEnd w:id="105"/>
      <w:bookmarkEnd w:id="106"/>
    </w:p>
    <w:p w14:paraId="47379C1F" w14:textId="2CA7E085" w:rsidR="00F97290" w:rsidRPr="00FA158B" w:rsidRDefault="00F97290" w:rsidP="009C3752">
      <w:r w:rsidRPr="00FA158B">
        <w:t xml:space="preserve">Les appareils de mesure et de contrôle permettent le contrôle des caractéristiques techniques de l’accès au RPD et leurs adaptations aux conditions du Contrat Unique concerné, et servent à la facturation de l’accès au RPD. Ils sont scellés par </w:t>
      </w:r>
      <w:r w:rsidR="0076712A">
        <w:t>le GRD</w:t>
      </w:r>
      <w:r w:rsidRPr="00FA158B">
        <w:t xml:space="preserve">. </w:t>
      </w:r>
    </w:p>
    <w:p w14:paraId="3B6D2E40" w14:textId="7861CE17" w:rsidR="00F97290" w:rsidRPr="00FA158B" w:rsidRDefault="00F97290" w:rsidP="009C3752">
      <w:r w:rsidRPr="00FA158B">
        <w:t xml:space="preserve">La documentation technique de référence librement accessible sur le </w:t>
      </w:r>
      <w:r w:rsidR="00CE16AE">
        <w:t>Site</w:t>
      </w:r>
      <w:r w:rsidRPr="00FA158B">
        <w:t xml:space="preserve"> internet </w:t>
      </w:r>
      <w:r w:rsidR="0076712A">
        <w:t>du GRD</w:t>
      </w:r>
      <w:r w:rsidR="00E20718">
        <w:t xml:space="preserve"> </w:t>
      </w:r>
      <w:hyperlink r:id="rId18" w:history="1">
        <w:r w:rsidR="00E20718" w:rsidRPr="00F23F79">
          <w:rPr>
            <w:rStyle w:val="Lienhypertexte"/>
          </w:rPr>
          <w:t>https://tignelec.com</w:t>
        </w:r>
      </w:hyperlink>
      <w:r w:rsidR="00E20718">
        <w:t xml:space="preserve"> </w:t>
      </w:r>
      <w:r w:rsidRPr="00FA158B">
        <w:t xml:space="preserve"> </w:t>
      </w:r>
      <w:r w:rsidR="0012052E" w:rsidRPr="0012052E">
        <w:rPr>
          <w:color w:val="auto"/>
        </w:rPr>
        <w:t xml:space="preserve">ou sur demande à l’adresse </w:t>
      </w:r>
      <w:hyperlink r:id="rId19" w:history="1">
        <w:r w:rsidR="00E20718" w:rsidRPr="00F23F79">
          <w:rPr>
            <w:rStyle w:val="Lienhypertexte"/>
          </w:rPr>
          <w:t>accueil@tig.regielec.fr</w:t>
        </w:r>
      </w:hyperlink>
      <w:r w:rsidR="0012052E">
        <w:rPr>
          <w:color w:val="FF0000"/>
        </w:rPr>
        <w:t xml:space="preserve"> </w:t>
      </w:r>
      <w:r w:rsidRPr="00FA158B">
        <w:t>constitue le référentiel des prescriptions techniques applicables en matière de dispositif de comptage.</w:t>
      </w:r>
    </w:p>
    <w:p w14:paraId="669410AF" w14:textId="77777777" w:rsidR="00F97290" w:rsidRPr="00FA158B" w:rsidRDefault="00F97290" w:rsidP="000C0CCD">
      <w:pPr>
        <w:pStyle w:val="Titre3"/>
      </w:pPr>
      <w:bookmarkStart w:id="107" w:name="_Toc52012212"/>
      <w:bookmarkStart w:id="108" w:name="_Toc21422420"/>
      <w:r w:rsidRPr="00FA158B">
        <w:t xml:space="preserve">Description des équipements du(des) dispositif(s) de comptage </w:t>
      </w:r>
      <w:bookmarkEnd w:id="107"/>
      <w:r w:rsidRPr="00FA158B">
        <w:t>et de contrôle</w:t>
      </w:r>
      <w:bookmarkEnd w:id="108"/>
    </w:p>
    <w:p w14:paraId="5950F5B2" w14:textId="77777777" w:rsidR="00F97290" w:rsidRPr="00FA158B" w:rsidRDefault="00F97290" w:rsidP="000C0CCD">
      <w:pPr>
        <w:pStyle w:val="Titre4"/>
      </w:pPr>
      <w:bookmarkStart w:id="109" w:name="_Ref143054581"/>
      <w:r w:rsidRPr="00FA158B">
        <w:t>Equipements du(des) Dispositif(s) de comptage</w:t>
      </w:r>
      <w:bookmarkEnd w:id="109"/>
    </w:p>
    <w:p w14:paraId="11EE8BA1" w14:textId="77777777" w:rsidR="00F97290" w:rsidRPr="00FA158B" w:rsidRDefault="00F97290" w:rsidP="009C3752">
      <w:r w:rsidRPr="00FA158B">
        <w:t>Un Dispositif de comptage comprend généralement les équipements suivants :</w:t>
      </w:r>
    </w:p>
    <w:p w14:paraId="076F4A6D" w14:textId="77777777" w:rsidR="00F97290" w:rsidRPr="00FA158B" w:rsidRDefault="00F97290" w:rsidP="000C0CCD">
      <w:pPr>
        <w:pStyle w:val="SPuce"/>
      </w:pPr>
      <w:proofErr w:type="gramStart"/>
      <w:r w:rsidRPr="00FA158B">
        <w:t>un</w:t>
      </w:r>
      <w:proofErr w:type="gramEnd"/>
      <w:r w:rsidRPr="00FA158B">
        <w:t xml:space="preserve"> ou plusieurs Compteur(s), posé(s) sur un ou plusieurs panneau(x) de comptage comportant des accessoires tels que horloge, boitiers de télécommunication, boîtes d’essai, bornier client ;</w:t>
      </w:r>
    </w:p>
    <w:p w14:paraId="5386EE25" w14:textId="400EE6C7" w:rsidR="00F97290" w:rsidRPr="00FA158B" w:rsidRDefault="00F97290" w:rsidP="000C0CCD">
      <w:pPr>
        <w:pStyle w:val="SPuce"/>
      </w:pPr>
      <w:proofErr w:type="gramStart"/>
      <w:r w:rsidRPr="00FA158B">
        <w:t>des</w:t>
      </w:r>
      <w:proofErr w:type="gramEnd"/>
      <w:r w:rsidRPr="00FA158B">
        <w:t xml:space="preserve"> réducteurs de mesure, c'est-à-dire transformateurs de courant et transformateurs de tension, dont la Classe de Précision et le rapport de transformation doivent être adaptés au Dispositif de comptage et à la Puissance Souscrite ; le Client ne peut utiliser les transformateurs de mesure qu’avec l’accord écrit </w:t>
      </w:r>
      <w:r w:rsidR="0076712A">
        <w:t>du GRD</w:t>
      </w:r>
      <w:r w:rsidRPr="00FA158B">
        <w:t xml:space="preserve"> et dans le respect des conditions que celle-ci lui indiquera ;</w:t>
      </w:r>
    </w:p>
    <w:p w14:paraId="7A6AE445" w14:textId="77777777" w:rsidR="00F97290" w:rsidRPr="00FA158B" w:rsidRDefault="00F97290" w:rsidP="000C0CCD">
      <w:pPr>
        <w:pStyle w:val="SPuce"/>
      </w:pPr>
      <w:proofErr w:type="gramStart"/>
      <w:r w:rsidRPr="00FA158B">
        <w:t>des</w:t>
      </w:r>
      <w:proofErr w:type="gramEnd"/>
      <w:r w:rsidRPr="00FA158B">
        <w:t xml:space="preserve"> câbles de liaison entre ces différents équipements ;</w:t>
      </w:r>
    </w:p>
    <w:p w14:paraId="71C41B4E" w14:textId="333C4BCD" w:rsidR="00F97290" w:rsidRPr="00FA158B" w:rsidRDefault="00F97290" w:rsidP="000C0CCD">
      <w:pPr>
        <w:pStyle w:val="SPuce"/>
      </w:pPr>
      <w:proofErr w:type="gramStart"/>
      <w:r w:rsidRPr="00FA158B">
        <w:t>une</w:t>
      </w:r>
      <w:proofErr w:type="gramEnd"/>
      <w:r w:rsidRPr="00FA158B">
        <w:t xml:space="preserve"> alimentation auxiliaire, si nécessaire. La continuité de cette alimentation doit être au moins équivalente à la continuité de l’alimentation du Site. Cette alimentation doit être prise sur un circuit spécifique. En effet, afin d’assurer </w:t>
      </w:r>
      <w:r w:rsidRPr="00FA158B">
        <w:lastRenderedPageBreak/>
        <w:t xml:space="preserve">les opérations de maintenance, et d’éventuelles modifications du Dispositif de comptage appartenant </w:t>
      </w:r>
      <w:r w:rsidR="0076712A">
        <w:t>au GRD</w:t>
      </w:r>
      <w:r w:rsidRPr="00FA158B">
        <w:t xml:space="preserve">, le Client doit pouvoir consigner cette alimentation sur demande </w:t>
      </w:r>
      <w:r w:rsidR="0076712A">
        <w:t>du GRD</w:t>
      </w:r>
      <w:r w:rsidRPr="00FA158B">
        <w:t>, sans répercussion sur l’alimentation de son Site ;</w:t>
      </w:r>
    </w:p>
    <w:p w14:paraId="0B588370" w14:textId="77777777" w:rsidR="00F97290" w:rsidRPr="00FA158B" w:rsidRDefault="00F97290" w:rsidP="00704A7D">
      <w:pPr>
        <w:pStyle w:val="SPuce"/>
      </w:pPr>
      <w:proofErr w:type="gramStart"/>
      <w:r w:rsidRPr="00FA158B">
        <w:t>le</w:t>
      </w:r>
      <w:proofErr w:type="gramEnd"/>
      <w:r w:rsidRPr="00FA158B">
        <w:t xml:space="preserve"> cas échéant, une ou plusieurs liaisons de télécommunication physiques nécessaires au </w:t>
      </w:r>
      <w:proofErr w:type="spellStart"/>
      <w:r w:rsidRPr="00FA158B">
        <w:t>Télérelevé</w:t>
      </w:r>
      <w:proofErr w:type="spellEnd"/>
      <w:r w:rsidRPr="00FA158B">
        <w:t xml:space="preserve"> du(des) Compteur(s).</w:t>
      </w:r>
    </w:p>
    <w:p w14:paraId="5DB71C27" w14:textId="2B34D4E9" w:rsidR="00F97290" w:rsidRPr="00FA158B" w:rsidRDefault="00F97290" w:rsidP="009C3752">
      <w:bookmarkStart w:id="110" w:name="_Ref58138013"/>
      <w:bookmarkStart w:id="111" w:name="_Toc140912053"/>
      <w:bookmarkStart w:id="112" w:name="_Toc141006615"/>
      <w:r w:rsidRPr="00FA158B">
        <w:t xml:space="preserve">Les caractéristiques des Compteurs sont définies par l’arrêté « comptage » du 4 janvier 2012. Les Compteurs dont fait usage </w:t>
      </w:r>
      <w:r w:rsidR="0076712A">
        <w:t>le GRD</w:t>
      </w:r>
      <w:r w:rsidRPr="00FA158B">
        <w:t xml:space="preserve"> seront mis en conformité à cet arrêté, dans le respect des échéances fixées par les pouvoirs publics. </w:t>
      </w:r>
    </w:p>
    <w:p w14:paraId="54BFF469" w14:textId="77777777" w:rsidR="00F97290" w:rsidRPr="00FA158B" w:rsidRDefault="00F97290" w:rsidP="009C3752">
      <w:r w:rsidRPr="00FA158B">
        <w:t>Pour les Points de Livraison avec Puissance Souscrite supérieure ou égale à 250 kW</w:t>
      </w:r>
      <w:bookmarkEnd w:id="110"/>
      <w:bookmarkEnd w:id="111"/>
      <w:bookmarkEnd w:id="112"/>
      <w:r w:rsidRPr="00FA158B">
        <w:t xml:space="preserve"> ou pour lesquels le Fournisseur a choisi un Service de comptage à Courbe de charge, un Compteur mesurant les Courbes de Charge, </w:t>
      </w:r>
      <w:proofErr w:type="spellStart"/>
      <w:r w:rsidRPr="00FA158B">
        <w:t>Télérelevé</w:t>
      </w:r>
      <w:proofErr w:type="spellEnd"/>
      <w:r w:rsidRPr="00FA158B">
        <w:t xml:space="preserve"> et équipé d’une ligne de télécommunication dédiée à cet usage, est à minima nécessaire. </w:t>
      </w:r>
    </w:p>
    <w:p w14:paraId="63103DBA" w14:textId="44A26402" w:rsidR="00F97290" w:rsidRPr="00FA158B" w:rsidRDefault="00F97290" w:rsidP="009C3752">
      <w:r w:rsidRPr="00FA158B">
        <w:t>Pour les Points de Livraison avec Puissance Souscrite inférieure à 250 kW, la p</w:t>
      </w:r>
      <w:r w:rsidR="002B3E0E">
        <w:t xml:space="preserve">ose d’un Compteur Communicant, </w:t>
      </w:r>
      <w:r w:rsidRPr="00FA158B">
        <w:t xml:space="preserve">avant les échéances fixées par les pouvoirs publics, reste à l’initiative </w:t>
      </w:r>
      <w:r w:rsidR="0076712A">
        <w:t>du GRD</w:t>
      </w:r>
      <w:r w:rsidRPr="00FA158B">
        <w:t xml:space="preserve">. Dans ce cadre, </w:t>
      </w:r>
      <w:r w:rsidR="0076712A">
        <w:t>le GRD</w:t>
      </w:r>
      <w:r w:rsidR="002B3E0E">
        <w:t xml:space="preserve"> prend à sa charge la pose du </w:t>
      </w:r>
      <w:r w:rsidRPr="00FA158B">
        <w:t xml:space="preserve">Compteur Communicant. </w:t>
      </w:r>
    </w:p>
    <w:p w14:paraId="011D03C2" w14:textId="4E850793" w:rsidR="00F97290" w:rsidRPr="00FA158B" w:rsidRDefault="00F97290" w:rsidP="009C3752">
      <w:r w:rsidRPr="00FA158B">
        <w:t xml:space="preserve">Avant les échéances fixées par les pouvoirs publics, si le Fournisseur souhaite néanmoins un service nécessitant un Compteur Communicant pour un Client qui n’en dispose pas encore, l’installation d’un Compteur Communicant se fait à la charge </w:t>
      </w:r>
      <w:r w:rsidR="0076712A">
        <w:t>du GRD</w:t>
      </w:r>
      <w:r w:rsidRPr="00FA158B">
        <w:t xml:space="preserve"> sous réserve de faisabilité technique, conformément aux modalités définies dans les </w:t>
      </w:r>
      <w:r w:rsidR="00CE16AE">
        <w:t>Référentiel</w:t>
      </w:r>
      <w:r w:rsidRPr="00FA158B">
        <w:t xml:space="preserve">s </w:t>
      </w:r>
      <w:r w:rsidR="0076712A">
        <w:t>du GRD</w:t>
      </w:r>
      <w:r w:rsidR="00EF3062" w:rsidRPr="00FA158B">
        <w:rPr>
          <w:color w:val="auto"/>
        </w:rPr>
        <w:t xml:space="preserve"> </w:t>
      </w:r>
      <w:r w:rsidRPr="00FA158B">
        <w:t xml:space="preserve">et le Catalogue des prestations. </w:t>
      </w:r>
    </w:p>
    <w:p w14:paraId="5125CE44" w14:textId="77777777" w:rsidR="00F97290" w:rsidRPr="00FA158B" w:rsidRDefault="00F97290" w:rsidP="009C3752">
      <w:r w:rsidRPr="00FA158B">
        <w:t xml:space="preserve">Les équipements composant le(s) Dispositif(s) de comptage sont décrits dans le Contrat Unique. </w:t>
      </w:r>
    </w:p>
    <w:p w14:paraId="3266E7AA" w14:textId="77777777" w:rsidR="00F97290" w:rsidRPr="00FA158B" w:rsidRDefault="00F97290" w:rsidP="000C0CCD">
      <w:pPr>
        <w:pStyle w:val="Titre4"/>
      </w:pPr>
      <w:bookmarkStart w:id="113" w:name="_Ref143055128"/>
      <w:r w:rsidRPr="00FA158B">
        <w:t>Local de comptage</w:t>
      </w:r>
      <w:bookmarkEnd w:id="113"/>
    </w:p>
    <w:p w14:paraId="30D22559" w14:textId="506E7A07" w:rsidR="00F97290" w:rsidRPr="00FA158B" w:rsidRDefault="00F97290" w:rsidP="009C3752">
      <w:r w:rsidRPr="00FA158B">
        <w:t xml:space="preserve">Le Client doit mettre gratuitement à la disposition </w:t>
      </w:r>
      <w:r w:rsidR="0076712A">
        <w:t>du GRD</w:t>
      </w:r>
      <w:r w:rsidRPr="00FA158B">
        <w:t xml:space="preserve"> un local de comptage, situé en général dans le poste électrique, dont les caractéristiques doivent être conformes à celles définies dans la Convention de Raccordement. Ce local doit être clos, sec, propre (hors poussières industrielles), chauffé et ventilé de façon à conserver un</w:t>
      </w:r>
      <w:r w:rsidR="002B3E0E">
        <w:t>e température comprise entre 5° </w:t>
      </w:r>
      <w:r w:rsidRPr="00FA158B">
        <w:t>C et 40°</w:t>
      </w:r>
      <w:r w:rsidR="002B3E0E">
        <w:t> </w:t>
      </w:r>
      <w:r w:rsidRPr="00FA158B">
        <w:t xml:space="preserve">C. </w:t>
      </w:r>
    </w:p>
    <w:p w14:paraId="08EF90D7" w14:textId="3CCD7547" w:rsidR="00F97290" w:rsidRPr="00FA158B" w:rsidRDefault="00F97290" w:rsidP="009C3752">
      <w:r w:rsidRPr="00FA158B">
        <w:t xml:space="preserve">Le local ne doit être accessible qu'aux personnes explicitement autorisées par le Client ou </w:t>
      </w:r>
      <w:r w:rsidR="0076712A">
        <w:t>le GRD</w:t>
      </w:r>
      <w:r w:rsidRPr="00FA158B">
        <w:t xml:space="preserve">. </w:t>
      </w:r>
    </w:p>
    <w:p w14:paraId="699442D9" w14:textId="77777777" w:rsidR="00F97290" w:rsidRPr="00FA158B" w:rsidRDefault="00F97290" w:rsidP="000C0CCD">
      <w:pPr>
        <w:pStyle w:val="Titre4"/>
      </w:pPr>
      <w:bookmarkStart w:id="114" w:name="_Ref146425878"/>
      <w:r w:rsidRPr="00FA158B">
        <w:t xml:space="preserve">Equipements destinés au </w:t>
      </w:r>
      <w:proofErr w:type="spellStart"/>
      <w:r w:rsidRPr="00FA158B">
        <w:t>Télérelevé</w:t>
      </w:r>
      <w:proofErr w:type="spellEnd"/>
      <w:r w:rsidRPr="00FA158B">
        <w:t xml:space="preserve"> des données</w:t>
      </w:r>
      <w:bookmarkEnd w:id="114"/>
    </w:p>
    <w:p w14:paraId="77D56841" w14:textId="2E48E29B" w:rsidR="00F97290" w:rsidRPr="00FA158B" w:rsidRDefault="00F97290" w:rsidP="009C3752">
      <w:r w:rsidRPr="00FA158B">
        <w:t xml:space="preserve">La Documentation technique de référence comptage, disponible sur le </w:t>
      </w:r>
      <w:r w:rsidR="00CE16AE">
        <w:t>Site</w:t>
      </w:r>
      <w:r w:rsidRPr="00FA158B">
        <w:t xml:space="preserve"> Internet </w:t>
      </w:r>
      <w:r w:rsidR="0076712A">
        <w:t>du GRD</w:t>
      </w:r>
      <w:r w:rsidR="00B31CCF">
        <w:t xml:space="preserve"> </w:t>
      </w:r>
      <w:hyperlink r:id="rId20" w:history="1">
        <w:r w:rsidR="00B31CCF" w:rsidRPr="00F23F79">
          <w:rPr>
            <w:rStyle w:val="Lienhypertexte"/>
          </w:rPr>
          <w:t>https://tignelec.com</w:t>
        </w:r>
      </w:hyperlink>
      <w:r w:rsidR="00B31CCF">
        <w:t xml:space="preserve"> </w:t>
      </w:r>
      <w:r w:rsidRPr="00FA158B">
        <w:t xml:space="preserve">précise la solution de télécommunication de référence, ainsi que les caractéristiques des liaisons de télécommunication compatibles avec le Dispositif de comptage du Site. Lorsque cette solution de référence le nécessite, une liaison de télécommunication physique doit être mise à disposition </w:t>
      </w:r>
      <w:r w:rsidR="0076712A">
        <w:t>du GRD</w:t>
      </w:r>
      <w:r w:rsidRPr="00FA158B">
        <w:t xml:space="preserve"> pour chaque Compteur du Site, et doit arriver à proximité d'au moins une des interfaces de communication du Dispositif de comptage.</w:t>
      </w:r>
    </w:p>
    <w:p w14:paraId="510D7541" w14:textId="1D6891BB" w:rsidR="00F97290" w:rsidRPr="00FA158B" w:rsidRDefault="00F97290" w:rsidP="009C3752">
      <w:r w:rsidRPr="00FA158B">
        <w:t xml:space="preserve">Si, en raison d'une situation locale particulière, la solution de télécommunication de référence ne peut pas être mise en œuvre de façon satisfaisante, </w:t>
      </w:r>
      <w:r w:rsidR="0076712A">
        <w:t>le GRD</w:t>
      </w:r>
      <w:r w:rsidRPr="00FA158B">
        <w:t xml:space="preserve"> étudie, en collaboration avec le Client et son Fournisseur, la faisabilité d'une solution alternative. Si cette solution s’avère réalisable, elle est mise en œuvre et facturée au Fournisseur selon le Catalogue des prestations </w:t>
      </w:r>
      <w:r w:rsidR="0076712A">
        <w:t>du GRD</w:t>
      </w:r>
      <w:r w:rsidRPr="00FA158B">
        <w:t xml:space="preserve">. Si aucune solution répondant aux besoins de qualité de service </w:t>
      </w:r>
      <w:r w:rsidR="0076712A">
        <w:t>du GRD</w:t>
      </w:r>
      <w:r w:rsidRPr="00FA158B">
        <w:t xml:space="preserve"> ne s’avère réalisable ou si le Client refuse la solution proposée, alors le Site ne pourra pas être éligible aux services de comptage à Courbe de Charge requérant cette solution. </w:t>
      </w:r>
    </w:p>
    <w:p w14:paraId="0C583155" w14:textId="0213A750" w:rsidR="00F97290" w:rsidRPr="00FA158B" w:rsidRDefault="00F97290" w:rsidP="009C3752">
      <w:r w:rsidRPr="00FA158B">
        <w:t xml:space="preserve">Le dispositif de </w:t>
      </w:r>
      <w:proofErr w:type="spellStart"/>
      <w:r w:rsidRPr="00FA158B">
        <w:t>Télérelevé</w:t>
      </w:r>
      <w:proofErr w:type="spellEnd"/>
      <w:r w:rsidRPr="00FA158B">
        <w:t xml:space="preserve"> doit être disponible avant la mise en service du Point de Livraison. Si le branchement de télécommunication nécessaire pour le </w:t>
      </w:r>
      <w:proofErr w:type="spellStart"/>
      <w:r w:rsidRPr="00FA158B">
        <w:t>Télérelevé</w:t>
      </w:r>
      <w:proofErr w:type="spellEnd"/>
      <w:r w:rsidRPr="00FA158B">
        <w:t xml:space="preserve"> n'est pas disponible avant la mise en service, le relevé du Compteur se fait par lecture locale. Ce relevé local est en ce cas effectué aux frais du Fournisseur, à moins </w:t>
      </w:r>
      <w:r w:rsidR="0076712A">
        <w:t>que le GRD</w:t>
      </w:r>
      <w:r w:rsidRPr="00FA158B">
        <w:t xml:space="preserve"> ne soit responsable du retard. Les retards du fait du Client sont mis à la charge du Fournisseur. Le montant des frais peut être consulté dans le Catalogue des prestations </w:t>
      </w:r>
      <w:r w:rsidR="0076712A">
        <w:t>du GRD</w:t>
      </w:r>
      <w:r w:rsidRPr="00FA158B">
        <w:t>.</w:t>
      </w:r>
    </w:p>
    <w:p w14:paraId="2E6940E1" w14:textId="5C1A75FA" w:rsidR="00F97290" w:rsidRPr="00FA158B" w:rsidRDefault="00F97290" w:rsidP="009C3752">
      <w:r w:rsidRPr="00FA158B">
        <w:t xml:space="preserve">Si la(les) liaison(s) de télécommunication(s) nécessaire(s) au </w:t>
      </w:r>
      <w:proofErr w:type="spellStart"/>
      <w:r w:rsidRPr="00FA158B">
        <w:t>Télérelevé</w:t>
      </w:r>
      <w:proofErr w:type="spellEnd"/>
      <w:r w:rsidRPr="00FA158B">
        <w:t xml:space="preserve"> du Compteur par </w:t>
      </w:r>
      <w:r w:rsidR="0076712A">
        <w:t>le GRD</w:t>
      </w:r>
      <w:r w:rsidRPr="00FA158B">
        <w:t xml:space="preserve"> est(sont) posée(s) et exploitée(s) par un opérateur de télécommunications, </w:t>
      </w:r>
      <w:r w:rsidR="0076712A">
        <w:t>le GRD</w:t>
      </w:r>
      <w:r w:rsidRPr="00FA158B">
        <w:t xml:space="preserve"> prend à sa charge les frais de l'abonnement (ou des abonnements) correspondant(s).</w:t>
      </w:r>
    </w:p>
    <w:p w14:paraId="16EAB7A8" w14:textId="77777777" w:rsidR="00F97290" w:rsidRPr="00FA158B" w:rsidRDefault="00F97290" w:rsidP="000C0CCD">
      <w:pPr>
        <w:pStyle w:val="Titre4"/>
      </w:pPr>
      <w:bookmarkStart w:id="115" w:name="_Ref109185126"/>
      <w:r w:rsidRPr="00FA158B">
        <w:t>Equipements supplémentaires</w:t>
      </w:r>
      <w:bookmarkEnd w:id="115"/>
    </w:p>
    <w:p w14:paraId="4594592F" w14:textId="7E2CD03B" w:rsidR="00F97290" w:rsidRPr="00FA158B" w:rsidRDefault="00F97290" w:rsidP="009C3752">
      <w:r w:rsidRPr="00FA158B">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w:t>
      </w:r>
      <w:r w:rsidRPr="00FA158B">
        <w:lastRenderedPageBreak/>
        <w:t xml:space="preserve">données mesurées par ces dispositifs supplémentaires ne seront pas utilisées par </w:t>
      </w:r>
      <w:r w:rsidR="0076712A">
        <w:t>le GRD</w:t>
      </w:r>
      <w:r w:rsidRPr="00FA158B">
        <w:t xml:space="preserve"> pour la facturation de l'accès au RPD, sauf dans les cas visés à l’article </w:t>
      </w:r>
      <w:r w:rsidR="00983D6B" w:rsidRPr="00FA158B">
        <w:fldChar w:fldCharType="begin"/>
      </w:r>
      <w:r w:rsidR="00983D6B" w:rsidRPr="00FA158B">
        <w:instrText xml:space="preserve"> REF _Ref165451364 \r \h  \* MERGEFORMAT </w:instrText>
      </w:r>
      <w:r w:rsidR="00983D6B" w:rsidRPr="00FA158B">
        <w:fldChar w:fldCharType="separate"/>
      </w:r>
      <w:r w:rsidR="005E7E99">
        <w:t>3.2.4</w:t>
      </w:r>
      <w:r w:rsidR="00983D6B" w:rsidRPr="00FA158B">
        <w:fldChar w:fldCharType="end"/>
      </w:r>
      <w:r w:rsidRPr="00FA158B">
        <w:t xml:space="preserve"> des présentes dispositions générales.</w:t>
      </w:r>
    </w:p>
    <w:p w14:paraId="672E3FE8" w14:textId="77777777" w:rsidR="00F97290" w:rsidRPr="00FA158B" w:rsidRDefault="00F97290" w:rsidP="000C0CCD">
      <w:pPr>
        <w:pStyle w:val="Titre3"/>
      </w:pPr>
      <w:bookmarkStart w:id="116" w:name="_Toc116817020"/>
      <w:bookmarkStart w:id="117" w:name="_Ref128902183"/>
      <w:bookmarkStart w:id="118" w:name="_Toc21422421"/>
      <w:bookmarkStart w:id="119" w:name="_Ref109534724"/>
      <w:r w:rsidRPr="00FA158B">
        <w:t>Fourniture des équipements du(des) Dispositif(s) de comptage</w:t>
      </w:r>
      <w:bookmarkEnd w:id="116"/>
      <w:bookmarkEnd w:id="117"/>
      <w:bookmarkEnd w:id="118"/>
      <w:r w:rsidRPr="00FA158B">
        <w:t xml:space="preserve"> </w:t>
      </w:r>
      <w:bookmarkEnd w:id="119"/>
    </w:p>
    <w:p w14:paraId="74568D55" w14:textId="08AC13B9" w:rsidR="00F97290" w:rsidRPr="00FA158B" w:rsidRDefault="00F97290" w:rsidP="009C3752">
      <w:r w:rsidRPr="00FA158B">
        <w:t xml:space="preserve">Le(s) Compteur(s), accompagné(s) du panneau de comptage, ainsi que les accessoires associés à ce panneau tels que mentionnés à l’article </w:t>
      </w:r>
      <w:r w:rsidR="00983D6B" w:rsidRPr="00FA158B">
        <w:fldChar w:fldCharType="begin"/>
      </w:r>
      <w:r w:rsidR="00983D6B" w:rsidRPr="00FA158B">
        <w:instrText xml:space="preserve"> REF _Ref143054581 \r \h  \* MERGEFORMAT </w:instrText>
      </w:r>
      <w:r w:rsidR="00983D6B" w:rsidRPr="00FA158B">
        <w:fldChar w:fldCharType="separate"/>
      </w:r>
      <w:r w:rsidR="005E7E99">
        <w:t>3.1.1.1</w:t>
      </w:r>
      <w:r w:rsidR="00983D6B" w:rsidRPr="00FA158B">
        <w:fldChar w:fldCharType="end"/>
      </w:r>
      <w:r w:rsidRPr="00FA158B">
        <w:t xml:space="preserve"> sont fournis par </w:t>
      </w:r>
      <w:r w:rsidR="0076712A">
        <w:t>le GRD</w:t>
      </w:r>
      <w:r w:rsidRPr="00FA158B">
        <w:t xml:space="preserve">. Les réducteurs de mesure (transformateurs de courant et de tension) sont également fournis par </w:t>
      </w:r>
      <w:r w:rsidR="0076712A">
        <w:t>le GRD</w:t>
      </w:r>
      <w:r w:rsidRPr="00FA158B">
        <w:t xml:space="preserve"> si le Dispositif de comptage est situé au secondaire.</w:t>
      </w:r>
    </w:p>
    <w:p w14:paraId="3778DEDB" w14:textId="77777777" w:rsidR="00F97290" w:rsidRPr="00FA158B" w:rsidRDefault="00F97290" w:rsidP="00704A7D">
      <w:pPr>
        <w:rPr>
          <w:rFonts w:ascii="Calibri" w:hAnsi="Calibri"/>
          <w:sz w:val="18"/>
        </w:rPr>
      </w:pPr>
      <w:r w:rsidRPr="00FA158B">
        <w:t xml:space="preserve">Tous les autres équipements décrits à l'article </w:t>
      </w:r>
      <w:r w:rsidR="00983D6B" w:rsidRPr="00FA158B">
        <w:fldChar w:fldCharType="begin"/>
      </w:r>
      <w:r w:rsidR="00983D6B" w:rsidRPr="00FA158B">
        <w:instrText xml:space="preserve"> REF _Ref143054581 \r \h  \* MERGEFORMAT </w:instrText>
      </w:r>
      <w:r w:rsidR="00983D6B" w:rsidRPr="00FA158B">
        <w:fldChar w:fldCharType="separate"/>
      </w:r>
      <w:r w:rsidR="005E7E99">
        <w:t>3.1.1.1</w:t>
      </w:r>
      <w:r w:rsidR="00983D6B" w:rsidRPr="00FA158B">
        <w:fldChar w:fldCharType="end"/>
      </w:r>
      <w:r w:rsidRPr="00FA158B">
        <w:t xml:space="preserve"> des présentes dispositions générales sont fournis par le Client.</w:t>
      </w:r>
    </w:p>
    <w:p w14:paraId="330A3D78" w14:textId="77777777" w:rsidR="00F97290" w:rsidRPr="00FA158B" w:rsidRDefault="00F97290" w:rsidP="000C0CCD">
      <w:pPr>
        <w:pStyle w:val="Titre3"/>
      </w:pPr>
      <w:bookmarkStart w:id="120" w:name="_Toc116817021"/>
      <w:bookmarkStart w:id="121" w:name="_Toc21422422"/>
      <w:bookmarkStart w:id="122" w:name="_Toc108331958"/>
      <w:bookmarkStart w:id="123" w:name="_Ref109534512"/>
      <w:r w:rsidRPr="00FA158B">
        <w:t>Pose des équipements du(des) Dispositif(s) de comptage</w:t>
      </w:r>
      <w:bookmarkEnd w:id="120"/>
      <w:bookmarkEnd w:id="121"/>
      <w:r w:rsidRPr="00FA158B">
        <w:t xml:space="preserve"> </w:t>
      </w:r>
      <w:bookmarkEnd w:id="122"/>
      <w:bookmarkEnd w:id="123"/>
    </w:p>
    <w:p w14:paraId="2AE4EA21" w14:textId="4C7D47EB" w:rsidR="00F97290" w:rsidRPr="00FA158B" w:rsidRDefault="00F97290" w:rsidP="009C3752">
      <w:r w:rsidRPr="00FA158B">
        <w:t xml:space="preserve">Les équipements du (des) Dispositif(s) de comptage sont installés dans le local mis à la disposition </w:t>
      </w:r>
      <w:r w:rsidR="0076712A">
        <w:t>du GRD</w:t>
      </w:r>
      <w:r w:rsidRPr="00FA158B">
        <w:t xml:space="preserve"> par le Client conformément à l'article </w:t>
      </w:r>
      <w:r w:rsidR="00983D6B" w:rsidRPr="00FA158B">
        <w:fldChar w:fldCharType="begin"/>
      </w:r>
      <w:r w:rsidR="00983D6B" w:rsidRPr="00FA158B">
        <w:instrText xml:space="preserve"> REF _Ref143055128 \r \h  \* MERGEFORMAT </w:instrText>
      </w:r>
      <w:r w:rsidR="00983D6B" w:rsidRPr="00FA158B">
        <w:fldChar w:fldCharType="separate"/>
      </w:r>
      <w:r w:rsidR="005E7E99">
        <w:t>3.1.1.2</w:t>
      </w:r>
      <w:r w:rsidR="00983D6B" w:rsidRPr="00FA158B">
        <w:fldChar w:fldCharType="end"/>
      </w:r>
      <w:r w:rsidRPr="00FA158B">
        <w:t xml:space="preserve"> des présentes dispositions générales.</w:t>
      </w:r>
    </w:p>
    <w:p w14:paraId="2AF6BD0C" w14:textId="7D3CE68C" w:rsidR="00F97290" w:rsidRPr="00FA158B" w:rsidRDefault="00F97290" w:rsidP="009C3752">
      <w:r w:rsidRPr="00FA158B">
        <w:t xml:space="preserve">Le Client est tenu de transmettre </w:t>
      </w:r>
      <w:r w:rsidR="0076712A">
        <w:t>au GRD</w:t>
      </w:r>
      <w:r w:rsidRPr="00FA158B">
        <w:t xml:space="preserve"> les certificats de vérification et/ou d’essais garantissant la conformité aux règles et normes en vigueur des équipements qu'il fournit, avant leurs mises en service. </w:t>
      </w:r>
    </w:p>
    <w:p w14:paraId="56BF2CA8" w14:textId="240CF4A3" w:rsidR="00F97290" w:rsidRPr="00FA158B" w:rsidRDefault="00F97290" w:rsidP="009C3752">
      <w:r w:rsidRPr="00FA158B">
        <w:t xml:space="preserve">Les équipements fournis par le Client sont mis en place à ses frais. Le Compteur est branché par </w:t>
      </w:r>
      <w:r w:rsidR="0076712A">
        <w:t>le GRD</w:t>
      </w:r>
      <w:r w:rsidRPr="00FA158B">
        <w:t xml:space="preserve"> aux circuits de raccordement issus des transformateurs de mesure, aux éventuelles alimentations auxiliaires et il est connecté au réseau de télécommunication utilisé. Les équipements sont réglés par </w:t>
      </w:r>
      <w:r w:rsidR="0076712A">
        <w:t>le GRD</w:t>
      </w:r>
      <w:r w:rsidRPr="00FA158B">
        <w:t xml:space="preserve"> en présence du Client et scellés par </w:t>
      </w:r>
      <w:r w:rsidR="0076712A">
        <w:t>le GRD</w:t>
      </w:r>
      <w:r w:rsidRPr="00FA158B">
        <w:t>.</w:t>
      </w:r>
    </w:p>
    <w:p w14:paraId="7F2104D1" w14:textId="6A3F8C15" w:rsidR="00F97290" w:rsidRPr="00FA158B" w:rsidRDefault="00F97290" w:rsidP="009C3752">
      <w:r w:rsidRPr="00FA158B">
        <w:t xml:space="preserve">Les interventions </w:t>
      </w:r>
      <w:r w:rsidR="0076712A">
        <w:t>du GRD</w:t>
      </w:r>
      <w:r w:rsidRPr="00FA158B">
        <w:t xml:space="preserve"> sont réalisées et facturées au Fournisseur dans les conditions décrites au Catalogue des prestations </w:t>
      </w:r>
      <w:r w:rsidR="0076712A">
        <w:t>du GRD</w:t>
      </w:r>
      <w:r w:rsidRPr="00FA158B">
        <w:t xml:space="preserve"> en vigueur. </w:t>
      </w:r>
    </w:p>
    <w:p w14:paraId="30C2B353" w14:textId="77777777" w:rsidR="00F97290" w:rsidRPr="00FA158B" w:rsidRDefault="00F97290" w:rsidP="000C0CCD">
      <w:pPr>
        <w:pStyle w:val="Titre3"/>
      </w:pPr>
      <w:bookmarkStart w:id="124" w:name="_Toc116817022"/>
      <w:r w:rsidRPr="00FA158B">
        <w:t xml:space="preserve"> </w:t>
      </w:r>
      <w:bookmarkStart w:id="125" w:name="_Ref143659986"/>
      <w:bookmarkStart w:id="126" w:name="_Toc21422423"/>
      <w:r w:rsidRPr="00FA158B">
        <w:t>Accès au(x) Dispositif(s) de comptage</w:t>
      </w:r>
      <w:bookmarkEnd w:id="124"/>
      <w:bookmarkEnd w:id="125"/>
      <w:bookmarkEnd w:id="126"/>
    </w:p>
    <w:p w14:paraId="3866321F" w14:textId="22EDFED6" w:rsidR="00F97290" w:rsidRPr="00FA158B" w:rsidRDefault="0076712A" w:rsidP="009C3752">
      <w:r>
        <w:t>Le GRD</w:t>
      </w:r>
      <w:r w:rsidR="00F97290" w:rsidRPr="00FA158B">
        <w:t xml:space="preserve"> peut accéder à tout moment au local de comptage visé à l'article </w:t>
      </w:r>
      <w:r w:rsidR="00983D6B" w:rsidRPr="00FA158B">
        <w:fldChar w:fldCharType="begin"/>
      </w:r>
      <w:r w:rsidR="00983D6B" w:rsidRPr="00FA158B">
        <w:instrText xml:space="preserve"> REF _Ref143055128 \r \h  \* MERGEFORMAT </w:instrText>
      </w:r>
      <w:r w:rsidR="00983D6B" w:rsidRPr="00FA158B">
        <w:fldChar w:fldCharType="separate"/>
      </w:r>
      <w:r w:rsidR="005E7E99">
        <w:t>3.1.1.2</w:t>
      </w:r>
      <w:r w:rsidR="00983D6B" w:rsidRPr="00FA158B">
        <w:fldChar w:fldCharType="end"/>
      </w:r>
      <w:r w:rsidR="00F97290" w:rsidRPr="00FA158B">
        <w:t xml:space="preserve">, afin d'assurer sa mission de contrôle et de relevé ou en cas de défaillance du Dispositif de comptage. </w:t>
      </w:r>
    </w:p>
    <w:p w14:paraId="439DA73A" w14:textId="70E424A6" w:rsidR="00F97290" w:rsidRPr="00FA158B" w:rsidRDefault="0076712A" w:rsidP="009C3752">
      <w:r>
        <w:t>Le GRD</w:t>
      </w:r>
      <w:r w:rsidRPr="00FA158B">
        <w:t xml:space="preserve"> </w:t>
      </w:r>
      <w:r w:rsidR="00F97290" w:rsidRPr="00FA158B">
        <w:t xml:space="preserve">doit pouvoir accéder autant de fois que nécessaire au Dispositif de comptage afin d'assurer le relevé du Compteur. Si un Compteur n’a pas pu être relevé par </w:t>
      </w:r>
      <w:r>
        <w:t>le GRD</w:t>
      </w:r>
      <w:r w:rsidR="00F97290" w:rsidRPr="00FA158B">
        <w:t xml:space="preserve"> du fait du Client, le Client doit prendre alors un rendez-vous, via le Fournisseur, pour un relevé spécial qui est facturé au Fournisseur selon le Catalogue des prestations </w:t>
      </w:r>
      <w:r>
        <w:t>du GRD</w:t>
      </w:r>
      <w:r w:rsidR="00F97290" w:rsidRPr="00FA158B">
        <w:t>.</w:t>
      </w:r>
    </w:p>
    <w:p w14:paraId="12253F5A" w14:textId="00D79F04" w:rsidR="00F97290" w:rsidRPr="00FA158B" w:rsidRDefault="00F97290" w:rsidP="009C3752">
      <w:r w:rsidRPr="00FA158B">
        <w:t xml:space="preserve">Dans les cas où l’accès nécessite la présence du Client, ce dernier est informé au préalable du passage </w:t>
      </w:r>
      <w:r w:rsidR="0076712A">
        <w:t>du GRD</w:t>
      </w:r>
      <w:r w:rsidRPr="00FA158B">
        <w:t xml:space="preserve">. Le Client doit alors prendre toute disposition nécessaire pour </w:t>
      </w:r>
      <w:r w:rsidR="0076712A">
        <w:t>que le GRD</w:t>
      </w:r>
      <w:r w:rsidRPr="00FA158B">
        <w:t xml:space="preserve"> puisse accéder en toute sécurité et sans difficulté aux équipements du Dispositif de comptage notamment en assurant la consignation nécessaire à l’intervention.</w:t>
      </w:r>
    </w:p>
    <w:p w14:paraId="39FC2D06" w14:textId="77777777" w:rsidR="00F97290" w:rsidRPr="00FA158B" w:rsidRDefault="00F97290" w:rsidP="009C3752">
      <w:r w:rsidRPr="00FA158B">
        <w:t xml:space="preserve">En cas de refus d’accès, les dispositions de l’article </w:t>
      </w:r>
      <w:r w:rsidR="00983D6B" w:rsidRPr="00FA158B">
        <w:fldChar w:fldCharType="begin"/>
      </w:r>
      <w:r w:rsidR="00983D6B" w:rsidRPr="00FA158B">
        <w:instrText xml:space="preserve"> REF _Ref139705907 \r \h  \* MERGEFORMAT </w:instrText>
      </w:r>
      <w:r w:rsidR="00983D6B" w:rsidRPr="00FA158B">
        <w:fldChar w:fldCharType="separate"/>
      </w:r>
      <w:r w:rsidR="005E7E99">
        <w:t>10.3</w:t>
      </w:r>
      <w:r w:rsidR="00983D6B" w:rsidRPr="00FA158B">
        <w:fldChar w:fldCharType="end"/>
      </w:r>
      <w:r w:rsidRPr="00FA158B">
        <w:t xml:space="preserve"> s’appliquent.</w:t>
      </w:r>
    </w:p>
    <w:p w14:paraId="1A58040B" w14:textId="77777777" w:rsidR="00F97290" w:rsidRPr="00FA158B" w:rsidRDefault="00F97290" w:rsidP="000C0CCD">
      <w:pPr>
        <w:pStyle w:val="Titre3"/>
      </w:pPr>
      <w:bookmarkStart w:id="127" w:name="_Toc116817023"/>
      <w:bookmarkStart w:id="128" w:name="_Toc21422424"/>
      <w:r w:rsidRPr="00FA158B">
        <w:t>Contrôle et vérification métrologique des équipements du(des) Dispositif(s) de comptage</w:t>
      </w:r>
      <w:bookmarkEnd w:id="127"/>
      <w:bookmarkEnd w:id="128"/>
    </w:p>
    <w:p w14:paraId="3D9FCAB3" w14:textId="6AFC1FD0" w:rsidR="00F97290" w:rsidRPr="00FA158B" w:rsidRDefault="00F97290" w:rsidP="009C3752">
      <w:r w:rsidRPr="00FA158B">
        <w:t xml:space="preserve">Le Contrôle des équipements du Dispositif de comptage est assuré par </w:t>
      </w:r>
      <w:r w:rsidR="0076712A">
        <w:t>le GRD</w:t>
      </w:r>
      <w:r w:rsidRPr="00FA158B">
        <w:t>.</w:t>
      </w:r>
    </w:p>
    <w:p w14:paraId="3630116A" w14:textId="4861811A" w:rsidR="00F97290" w:rsidRPr="00FA158B" w:rsidRDefault="00F97290" w:rsidP="009C3752">
      <w:r w:rsidRPr="00FA158B">
        <w:t xml:space="preserve">Le Client ou son Fournisseur peut, à tout moment, demander </w:t>
      </w:r>
      <w:r w:rsidR="0076712A">
        <w:t>au GRD</w:t>
      </w:r>
      <w:r w:rsidRPr="00FA158B">
        <w:t xml:space="preserve"> une vérification métrologique des équipements du(des) Dispositif(s) de comptage, dans les conditions décrites au Catalogue des prestations </w:t>
      </w:r>
      <w:r w:rsidR="0076712A">
        <w:t>du GRD</w:t>
      </w:r>
      <w:r w:rsidRPr="00FA158B">
        <w:t xml:space="preserve"> en vigueur.</w:t>
      </w:r>
    </w:p>
    <w:p w14:paraId="6D18E7EC" w14:textId="77777777" w:rsidR="00F97290" w:rsidRPr="00FA158B" w:rsidRDefault="00F97290" w:rsidP="000C0CCD">
      <w:pPr>
        <w:pStyle w:val="Titre3"/>
      </w:pPr>
      <w:bookmarkStart w:id="129" w:name="_Toc116817024"/>
      <w:bookmarkStart w:id="130" w:name="_Toc21422425"/>
      <w:r w:rsidRPr="00FA158B">
        <w:t>Entretien et renouvellement des équipements du(des) Dispositif(s) de comptage</w:t>
      </w:r>
      <w:bookmarkEnd w:id="129"/>
      <w:bookmarkEnd w:id="130"/>
    </w:p>
    <w:p w14:paraId="6F862F75" w14:textId="7AD41F63" w:rsidR="00F97290" w:rsidRPr="00FA158B" w:rsidRDefault="00F97290" w:rsidP="009C3752">
      <w:r w:rsidRPr="00FA158B">
        <w:t xml:space="preserve">L’entretien et le renouvellement des équipements du Dispositif de comptage fournis par </w:t>
      </w:r>
      <w:r w:rsidR="0076712A">
        <w:t>le GRD</w:t>
      </w:r>
      <w:r w:rsidRPr="00FA158B">
        <w:t xml:space="preserve"> sont assurés par ce dernier. Les frais correspondants sont à la charge </w:t>
      </w:r>
      <w:r w:rsidR="0076712A">
        <w:t>du GRD</w:t>
      </w:r>
      <w:r w:rsidRPr="00FA158B">
        <w:t>, sauf en cas de détérioration imputable au Client.</w:t>
      </w:r>
    </w:p>
    <w:p w14:paraId="09D79CE9" w14:textId="0DD4C6D6" w:rsidR="00F97290" w:rsidRPr="00FA158B" w:rsidRDefault="00F97290" w:rsidP="009C3752">
      <w:r w:rsidRPr="00FA158B">
        <w:t xml:space="preserve">L’entretien et le renouvellement des équipements du Dispositif de comptage non fournis par </w:t>
      </w:r>
      <w:r w:rsidR="0076712A">
        <w:t>le GRD</w:t>
      </w:r>
      <w:r w:rsidRPr="00FA158B">
        <w:t xml:space="preserve"> sont sous la responsabilité du Client. Lorsque l'opération d'entretien ou de renouvellement nécessite la dépose des scellés, la présence </w:t>
      </w:r>
      <w:r w:rsidR="0076712A">
        <w:t>du GRD</w:t>
      </w:r>
      <w:r w:rsidRPr="00FA158B">
        <w:t xml:space="preserve"> est obligatoire et le Client est tenu de demander l'intervention </w:t>
      </w:r>
      <w:r w:rsidR="0076712A">
        <w:t>du GRD</w:t>
      </w:r>
      <w:r w:rsidRPr="00FA158B">
        <w:t xml:space="preserve">, par l'intermédiaire de son Fournisseur, en préalable à l'opération. Cette intervention </w:t>
      </w:r>
      <w:r w:rsidR="0076712A">
        <w:t>du GRD</w:t>
      </w:r>
      <w:r w:rsidRPr="00FA158B">
        <w:t xml:space="preserve"> est réalisée et facturée au Fournisseur selon les modalités du Catalogue des prestations </w:t>
      </w:r>
      <w:r w:rsidR="0076712A">
        <w:t>du GRD</w:t>
      </w:r>
      <w:r w:rsidRPr="00FA158B">
        <w:t xml:space="preserve"> en vigueur.</w:t>
      </w:r>
    </w:p>
    <w:p w14:paraId="2FAB3E6F" w14:textId="4B4A4339" w:rsidR="00F97290" w:rsidRPr="00FA158B" w:rsidRDefault="00F97290" w:rsidP="009C3752">
      <w:r w:rsidRPr="00FA158B">
        <w:t xml:space="preserve">Lorsqu'un compteur a été fourni par le Client, le Fournisseur est tenu de souscrire une prestation de synchronisation dudit compteur, dans les conditions décrites au Catalogue des prestations </w:t>
      </w:r>
      <w:r w:rsidR="0076712A">
        <w:t>du GRD</w:t>
      </w:r>
      <w:r w:rsidRPr="00FA158B">
        <w:t xml:space="preserve"> en vigueur. Le renouvellement de ce Compteur </w:t>
      </w:r>
      <w:r w:rsidRPr="00FA158B">
        <w:lastRenderedPageBreak/>
        <w:t xml:space="preserve">pour le mettre en conformité avec la réglementation est sous la responsabilité </w:t>
      </w:r>
      <w:r w:rsidR="0076712A">
        <w:t>du GRD</w:t>
      </w:r>
      <w:r w:rsidRPr="00FA158B">
        <w:t>, conformément à l’article L322-8 du code de l’énergie.</w:t>
      </w:r>
    </w:p>
    <w:p w14:paraId="5786ED1B" w14:textId="77777777" w:rsidR="00F97290" w:rsidRPr="00FA158B" w:rsidRDefault="00F97290" w:rsidP="000C0CCD">
      <w:pPr>
        <w:pStyle w:val="Titre3"/>
      </w:pPr>
      <w:bookmarkStart w:id="131" w:name="_Toc116817025"/>
      <w:bookmarkStart w:id="132" w:name="_Toc21422426"/>
      <w:r w:rsidRPr="00FA158B">
        <w:t>Modification des équipements du(des) Dispositif(s) de comptage</w:t>
      </w:r>
      <w:bookmarkEnd w:id="131"/>
      <w:bookmarkEnd w:id="132"/>
    </w:p>
    <w:p w14:paraId="6E431B45" w14:textId="7B01C116" w:rsidR="00F97290" w:rsidRPr="00FA158B" w:rsidRDefault="0076712A" w:rsidP="009C3752">
      <w:r>
        <w:t>Le GRD</w:t>
      </w:r>
      <w:r w:rsidR="00F97290" w:rsidRPr="00FA158B">
        <w:t xml:space="preserve"> ou le Client peut procéder, à son initiative, au remplacement des équipements, dont il a la responsabilité, en fonction d'évolutions contractuelles, réglementaires ou d'avancées technologiques. </w:t>
      </w:r>
    </w:p>
    <w:p w14:paraId="1F7A0694" w14:textId="0D5971F7" w:rsidR="00F97290" w:rsidRPr="00FA158B" w:rsidRDefault="00F97290" w:rsidP="009C3752">
      <w:r w:rsidRPr="00FA158B">
        <w:t xml:space="preserve">Avant toute action, </w:t>
      </w:r>
      <w:r w:rsidR="0076712A">
        <w:t>le GRD</w:t>
      </w:r>
      <w:r w:rsidRPr="00FA158B">
        <w:t xml:space="preserve"> et le Client coordonnent leurs interventions afin de procéder aux remplacements des équipements dont ils ont la responsabilité.</w:t>
      </w:r>
    </w:p>
    <w:p w14:paraId="275B0D72" w14:textId="0132014E" w:rsidR="00F97290" w:rsidRPr="00FA158B" w:rsidRDefault="00F97290" w:rsidP="009C3752">
      <w:r w:rsidRPr="00FA158B">
        <w:t xml:space="preserve">En cas de modification des Puissances Souscrites, il peut s’avérer nécessaire de modifier le type et/ou le calibre de certains équipements et notamment d'adapter les transformateurs de mesure. </w:t>
      </w:r>
      <w:r w:rsidR="0076712A">
        <w:t>Le GRD</w:t>
      </w:r>
      <w:r w:rsidRPr="00FA158B">
        <w:t xml:space="preserve"> et le Client procèdent alors de manière coordonnée au changement des équipements qu'ils ont respectivement fournis. Cette intervention sur le Point de Livraison est facturée au Fournisseur selon les conditions définies dans le Catalogue des prestations </w:t>
      </w:r>
      <w:r w:rsidR="0076712A">
        <w:t>du GRD</w:t>
      </w:r>
      <w:r w:rsidRPr="00FA158B">
        <w:t xml:space="preserve"> en vigueur.</w:t>
      </w:r>
    </w:p>
    <w:p w14:paraId="6B1F924C" w14:textId="74A3D076" w:rsidR="00F97290" w:rsidRPr="00FA158B" w:rsidRDefault="00F97290" w:rsidP="009C3752">
      <w:r w:rsidRPr="00FA158B">
        <w:t xml:space="preserve">Lorsque l'opération de modification nécessite la dépose des scellés, la présence </w:t>
      </w:r>
      <w:r w:rsidR="0076712A">
        <w:t>du GRD</w:t>
      </w:r>
      <w:r w:rsidRPr="00FA158B">
        <w:t xml:space="preserve"> est obligatoire et le Client est tenu de demander par l'intermédiaire de son Fournisseur l'intervention </w:t>
      </w:r>
      <w:r w:rsidR="0076712A">
        <w:t>du GRD</w:t>
      </w:r>
      <w:r w:rsidRPr="00FA158B">
        <w:t xml:space="preserve"> en préalable à l'opération. Cette intervention </w:t>
      </w:r>
      <w:r w:rsidR="0076712A">
        <w:t>du GRD</w:t>
      </w:r>
      <w:r w:rsidRPr="00FA158B">
        <w:t xml:space="preserve"> est réalisée et facturée au Fournisseur selon les modalités du Catalogue des prestations </w:t>
      </w:r>
      <w:r w:rsidR="0076712A">
        <w:t>du GRD</w:t>
      </w:r>
      <w:r w:rsidRPr="00FA158B">
        <w:t xml:space="preserve"> en vigueur.</w:t>
      </w:r>
    </w:p>
    <w:p w14:paraId="353C5D2E" w14:textId="77777777" w:rsidR="00F97290" w:rsidRPr="00FA158B" w:rsidRDefault="00F97290" w:rsidP="000C0CCD">
      <w:pPr>
        <w:pStyle w:val="Titre3"/>
      </w:pPr>
      <w:bookmarkStart w:id="133" w:name="_Toc116817026"/>
      <w:bookmarkStart w:id="134" w:name="_Toc21422427"/>
      <w:r w:rsidRPr="00FA158B">
        <w:t>Respect du(des) Dispositif(s) de comptage</w:t>
      </w:r>
      <w:bookmarkEnd w:id="133"/>
      <w:bookmarkEnd w:id="134"/>
    </w:p>
    <w:p w14:paraId="67CF7304" w14:textId="4B814045" w:rsidR="00F97290" w:rsidRPr="00FA158B" w:rsidRDefault="00F97290" w:rsidP="009C3752">
      <w:r w:rsidRPr="00FA158B">
        <w:t xml:space="preserve">Le Client et </w:t>
      </w:r>
      <w:r w:rsidR="0076712A">
        <w:t>le GRD</w:t>
      </w:r>
      <w:r w:rsidRPr="00FA158B">
        <w:t xml:space="preserve"> s’engagent, pour eux-mêmes et pour leurs personnels, leurs préposés et leurs sous-traitants respectifs, à ne pas porter atteinte à l’intégrité et au fonctionnement du Dispositif de comptage.</w:t>
      </w:r>
    </w:p>
    <w:p w14:paraId="1C7C6155" w14:textId="388B6538" w:rsidR="00F97290" w:rsidRPr="00FA158B" w:rsidRDefault="00F97290" w:rsidP="009C3752">
      <w:r w:rsidRPr="00FA158B">
        <w:t xml:space="preserve">Le Client s'engage, pour lui-même et pour ses personnels, ses préposés et ses sous-traitants, à ne pas briser les scellés apposés par </w:t>
      </w:r>
      <w:r w:rsidR="0076712A">
        <w:t>le GRD</w:t>
      </w:r>
      <w:r w:rsidRPr="00FA158B">
        <w:t>.</w:t>
      </w:r>
    </w:p>
    <w:p w14:paraId="6AAEBD89" w14:textId="56B6DA20" w:rsidR="00F97290" w:rsidRPr="00FA158B" w:rsidRDefault="00F97290" w:rsidP="009C3752">
      <w:r w:rsidRPr="00FA158B">
        <w:t xml:space="preserve">Les fraudes portant sur le matériel du Dispositif de comptage relèvent du droit commun et l'ensemble des frais liés au traitement du dossier seront à la charge du Client, sauf si le Client démontre que la fraude ne lui est pas imputable et qu’elle n’est pas imputable à ses personnels, ni à ses préposés, ni à ses sous-traitants éventuels. Ces frais incluent notamment un forfait « Agent assermenté » dont le montant figure au Catalogue des prestations </w:t>
      </w:r>
      <w:r w:rsidR="0076712A">
        <w:t>du GRD</w:t>
      </w:r>
      <w:r w:rsidRPr="00FA158B">
        <w:t>.</w:t>
      </w:r>
    </w:p>
    <w:p w14:paraId="4CAA31CC" w14:textId="77777777" w:rsidR="00F97290" w:rsidRPr="00FA158B" w:rsidRDefault="00F97290" w:rsidP="000C0CCD">
      <w:pPr>
        <w:pStyle w:val="Titre3"/>
      </w:pPr>
      <w:bookmarkStart w:id="135" w:name="_Toc116817027"/>
      <w:bookmarkStart w:id="136" w:name="_Toc21422428"/>
      <w:r w:rsidRPr="00FA158B">
        <w:t>Dysfonctionnement des appareils</w:t>
      </w:r>
      <w:bookmarkEnd w:id="135"/>
      <w:bookmarkEnd w:id="136"/>
    </w:p>
    <w:p w14:paraId="384530B5" w14:textId="77777777" w:rsidR="00F97290" w:rsidRPr="00FA158B" w:rsidRDefault="00F97290" w:rsidP="009C3752">
      <w:r w:rsidRPr="00FA158B">
        <w:t xml:space="preserve">En cas d'arrêt ou de dysfonctionnement du Dispositif de comptage, les modalités de correction et/ou de remplacement des mesures défaillantes ou manquantes applicables sont précisées à l’article </w:t>
      </w:r>
      <w:r w:rsidR="00983D6B" w:rsidRPr="00FA158B">
        <w:fldChar w:fldCharType="begin"/>
      </w:r>
      <w:r w:rsidR="00983D6B" w:rsidRPr="00FA158B">
        <w:instrText xml:space="preserve"> REF _Ref165397971 \r \h  \* MERGEFORMAT </w:instrText>
      </w:r>
      <w:r w:rsidR="00983D6B" w:rsidRPr="00FA158B">
        <w:fldChar w:fldCharType="separate"/>
      </w:r>
      <w:r w:rsidR="005E7E99">
        <w:t>3.2.4</w:t>
      </w:r>
      <w:r w:rsidR="00983D6B" w:rsidRPr="00FA158B">
        <w:fldChar w:fldCharType="end"/>
      </w:r>
      <w:r w:rsidRPr="00FA158B">
        <w:t xml:space="preserve"> ci-dessous.</w:t>
      </w:r>
    </w:p>
    <w:p w14:paraId="516A622D" w14:textId="2B95968B" w:rsidR="00F97290" w:rsidRPr="00FA158B" w:rsidRDefault="00F97290" w:rsidP="009C3752">
      <w:r w:rsidRPr="00FA158B">
        <w:t xml:space="preserve">Celui, </w:t>
      </w:r>
      <w:r w:rsidR="0076712A">
        <w:t>du GRD</w:t>
      </w:r>
      <w:r w:rsidRPr="00FA158B">
        <w:t xml:space="preserve"> ou du Client qui, a fourni le(s) appareil(s) défectueux, à l’exception du Compteur, s'engage à procéder à son(leur) remplacement ou à sa(leur) réparation dans les meilleurs délais. Lorsque le Compteur est défectueux, le Client doit laisser </w:t>
      </w:r>
      <w:r w:rsidR="0076712A">
        <w:t>le GRD</w:t>
      </w:r>
      <w:r w:rsidRPr="00FA158B">
        <w:t xml:space="preserve"> procéder à son remplacement, conformément à l’obligation de comptage d’un GRD définie à l’article L322-8 du code de l’énergie.</w:t>
      </w:r>
    </w:p>
    <w:p w14:paraId="79452AB1" w14:textId="70C2F76B" w:rsidR="00F97290" w:rsidRPr="00FA158B" w:rsidRDefault="00F97290" w:rsidP="009C3752">
      <w:r w:rsidRPr="00FA158B">
        <w:t>En cas d'indisponibilité de la liaison de télécommunica</w:t>
      </w:r>
      <w:r w:rsidR="002B3E0E">
        <w:t>tion, si celle-ci a été fournie</w:t>
      </w:r>
      <w:r w:rsidRPr="00FA158B">
        <w:t xml:space="preserve"> par le Client au titre du </w:t>
      </w:r>
      <w:proofErr w:type="spellStart"/>
      <w:r w:rsidRPr="00FA158B">
        <w:t>Télérelevé</w:t>
      </w:r>
      <w:proofErr w:type="spellEnd"/>
      <w:r w:rsidRPr="00FA158B">
        <w:t xml:space="preserve">, </w:t>
      </w:r>
      <w:r w:rsidR="0076712A">
        <w:t>le GRD</w:t>
      </w:r>
      <w:r w:rsidRPr="00FA158B">
        <w:t xml:space="preserve"> procède, à titre transitoire, au relevé du (des) Compteur(s) par lecture locale des index, aux frais du Fournisseur.</w:t>
      </w:r>
    </w:p>
    <w:p w14:paraId="6D83BA0A" w14:textId="77777777" w:rsidR="00F97290" w:rsidRPr="00FA158B" w:rsidRDefault="00F97290" w:rsidP="009C3752">
      <w:pPr>
        <w:pStyle w:val="Titre2"/>
      </w:pPr>
      <w:bookmarkStart w:id="137" w:name="_Toc52012219"/>
      <w:bookmarkStart w:id="138" w:name="_Toc472522882"/>
      <w:bookmarkStart w:id="139" w:name="_Toc21422429"/>
      <w:r w:rsidRPr="00FA158B">
        <w:t>Définition et utilisation des données de comptage</w:t>
      </w:r>
      <w:bookmarkEnd w:id="137"/>
      <w:bookmarkEnd w:id="138"/>
      <w:bookmarkEnd w:id="139"/>
    </w:p>
    <w:p w14:paraId="718507A4" w14:textId="77777777" w:rsidR="00F97290" w:rsidRPr="00FA158B" w:rsidRDefault="00F97290" w:rsidP="000C0CCD">
      <w:pPr>
        <w:pStyle w:val="Titre3"/>
      </w:pPr>
      <w:bookmarkStart w:id="140" w:name="_Toc52012220"/>
      <w:bookmarkStart w:id="141" w:name="_Toc21422430"/>
      <w:r w:rsidRPr="00FA158B">
        <w:t>Données de comptage</w:t>
      </w:r>
      <w:bookmarkEnd w:id="140"/>
      <w:bookmarkEnd w:id="141"/>
    </w:p>
    <w:p w14:paraId="17832214" w14:textId="77777777" w:rsidR="00F97290" w:rsidRPr="00FA158B" w:rsidRDefault="00F97290" w:rsidP="009C3752">
      <w:r w:rsidRPr="00FA158B">
        <w:t>L’ensemble d</w:t>
      </w:r>
      <w:r w:rsidR="00886B00" w:rsidRPr="00FA158B">
        <w:t>es données ci-dessous constitue</w:t>
      </w:r>
      <w:r w:rsidRPr="00FA158B">
        <w:t xml:space="preserve"> les données de comptage qui font foi pour la facturation de l'acheminement au Fournisseur et qui sont transmises au Fournisseur pour qu’il facture ses fournitures. </w:t>
      </w:r>
    </w:p>
    <w:p w14:paraId="1CBF2AB7" w14:textId="0DFC60AE" w:rsidR="00F97290" w:rsidRPr="00FA158B" w:rsidRDefault="00F97290" w:rsidP="009C3752">
      <w:r w:rsidRPr="00FA158B">
        <w:t>Les données de comptage transmises à RTE pour la Reconstitution des flux, conformément aux sti</w:t>
      </w:r>
      <w:r w:rsidR="002B3E0E">
        <w:t xml:space="preserve">pulations du chapitre 6 </w:t>
      </w:r>
      <w:r w:rsidRPr="00FA158B">
        <w:t xml:space="preserve">des présentes dispositions générales, sont décrites dans le contrat GRD-RE conclu entre le Responsable d'Equilibre désigné par le Fournisseur et </w:t>
      </w:r>
      <w:r w:rsidR="0076712A">
        <w:t>le GRD</w:t>
      </w:r>
      <w:r w:rsidRPr="00FA158B">
        <w:t>.</w:t>
      </w:r>
      <w:r w:rsidR="0004412B" w:rsidRPr="00FA158B">
        <w:t xml:space="preserve"> </w:t>
      </w:r>
      <w:r w:rsidRPr="00FA158B">
        <w:t>Si le Dispositif de comptage est installé sur des circuits dont la tension est différente de la tension de raccordement du Point de Livraison et/ou éloigné du Point de Livraison, les quantités mesurées sont corrigées pour correspondre aux soutirages au Point de Livraison. Les coefficients et la formule de correction utilisés sont fixés dans le Contrat Unique concerné, qui précise aussi si la correction est réalisée par le Dispositif de comptage lui-même ou par l’outil de relevé.</w:t>
      </w:r>
    </w:p>
    <w:p w14:paraId="6CD672F6" w14:textId="77777777" w:rsidR="00F97290" w:rsidRPr="00FA158B" w:rsidRDefault="00F97290" w:rsidP="000C0CCD">
      <w:pPr>
        <w:pStyle w:val="Titre4"/>
      </w:pPr>
      <w:r w:rsidRPr="00FA158B">
        <w:lastRenderedPageBreak/>
        <w:t xml:space="preserve">Tous Points de Livraison HTA </w:t>
      </w:r>
    </w:p>
    <w:p w14:paraId="7A054851" w14:textId="77777777" w:rsidR="00F97290" w:rsidRPr="00FA158B" w:rsidRDefault="00F97290" w:rsidP="009C3752">
      <w:r w:rsidRPr="00FA158B">
        <w:t xml:space="preserve">Le Dispositif de comptage visé à l’article </w:t>
      </w:r>
      <w:r w:rsidR="00983D6B" w:rsidRPr="00FA158B">
        <w:fldChar w:fldCharType="begin"/>
      </w:r>
      <w:r w:rsidR="00983D6B" w:rsidRPr="00FA158B">
        <w:instrText xml:space="preserve"> REF _Ref68689043 \r \h  \* MERGEFORMAT </w:instrText>
      </w:r>
      <w:r w:rsidR="00983D6B" w:rsidRPr="00FA158B">
        <w:fldChar w:fldCharType="separate"/>
      </w:r>
      <w:r w:rsidR="005E7E99">
        <w:t>3.1</w:t>
      </w:r>
      <w:r w:rsidR="00983D6B" w:rsidRPr="00FA158B">
        <w:fldChar w:fldCharType="end"/>
      </w:r>
      <w:r w:rsidRPr="00FA158B">
        <w:t xml:space="preserve"> des présentes dispositions générales effectue la mesure et stocke les données de comptage suivantes :</w:t>
      </w:r>
    </w:p>
    <w:p w14:paraId="37B43C7E" w14:textId="250C7DDF" w:rsidR="00F97290" w:rsidRPr="00FA158B" w:rsidRDefault="00F97290" w:rsidP="00704A7D">
      <w:pPr>
        <w:pStyle w:val="SPuce"/>
      </w:pPr>
      <w:proofErr w:type="gramStart"/>
      <w:r w:rsidRPr="00FA158B">
        <w:t>l’énergie</w:t>
      </w:r>
      <w:proofErr w:type="gramEnd"/>
      <w:r w:rsidRPr="00FA158B">
        <w:t xml:space="preserve"> active, exprimée en kWh,  stockée dans un ou plusieurs index du Compteur ; la consommation est calculée dans chaque </w:t>
      </w:r>
      <w:r w:rsidR="00046F90">
        <w:t>Plag</w:t>
      </w:r>
      <w:r w:rsidRPr="00FA158B">
        <w:t xml:space="preserve">e Temporelle par différence entre le dernier index d’énergie ayant servi à la facturation précédente et l’index relevé ou, à défaut, estimé par </w:t>
      </w:r>
      <w:r w:rsidR="0076712A">
        <w:t>le GRD</w:t>
      </w:r>
      <w:r w:rsidRPr="00FA158B">
        <w:t xml:space="preserve"> conformément à l’article </w:t>
      </w:r>
      <w:r w:rsidR="00983D6B" w:rsidRPr="00FA158B">
        <w:fldChar w:fldCharType="begin"/>
      </w:r>
      <w:r w:rsidR="00983D6B" w:rsidRPr="00FA158B">
        <w:instrText xml:space="preserve"> REF _Ref165456623 \r \h  \* MERGEFORMAT </w:instrText>
      </w:r>
      <w:r w:rsidR="00983D6B" w:rsidRPr="00FA158B">
        <w:fldChar w:fldCharType="separate"/>
      </w:r>
      <w:r w:rsidR="005E7E99">
        <w:t>3.2.4.1</w:t>
      </w:r>
      <w:r w:rsidR="00983D6B" w:rsidRPr="00FA158B">
        <w:fldChar w:fldCharType="end"/>
      </w:r>
      <w:r w:rsidRPr="00FA158B">
        <w:t xml:space="preserve"> ; </w:t>
      </w:r>
    </w:p>
    <w:p w14:paraId="18818B5D" w14:textId="77777777" w:rsidR="00F97290" w:rsidRPr="00FA158B" w:rsidRDefault="00F97290" w:rsidP="00704A7D">
      <w:pPr>
        <w:pStyle w:val="SPuce"/>
      </w:pPr>
      <w:proofErr w:type="gramStart"/>
      <w:r w:rsidRPr="00FA158B">
        <w:t>l’énergie</w:t>
      </w:r>
      <w:proofErr w:type="gramEnd"/>
      <w:r w:rsidRPr="00FA158B">
        <w:t xml:space="preserve"> réactive, exprimée en </w:t>
      </w:r>
      <w:proofErr w:type="spellStart"/>
      <w:r w:rsidRPr="00FA158B">
        <w:t>kVArh</w:t>
      </w:r>
      <w:proofErr w:type="spellEnd"/>
      <w:r w:rsidRPr="00FA158B">
        <w:t> ; la valeur de l’énergie réactive est stockée dans un ou plusieurs index du Compteur ;</w:t>
      </w:r>
    </w:p>
    <w:p w14:paraId="3CCC1D3E" w14:textId="77777777" w:rsidR="00F97290" w:rsidRPr="00FA158B" w:rsidRDefault="00F97290" w:rsidP="00704A7D">
      <w:pPr>
        <w:pStyle w:val="SPuce"/>
      </w:pPr>
      <w:proofErr w:type="gramStart"/>
      <w:r w:rsidRPr="00FA158B">
        <w:t>la</w:t>
      </w:r>
      <w:proofErr w:type="gramEnd"/>
      <w:r w:rsidRPr="00FA158B">
        <w:t xml:space="preserve"> puissance active maximale atteinte, exprimée en kW, stockée dans un ou plusieurs index du Compteur, les dépassements sous différentes formes en fonction des possibilités du Dispositif de comptage en place ;</w:t>
      </w:r>
    </w:p>
    <w:p w14:paraId="7D8A9EAC" w14:textId="77777777" w:rsidR="00F97290" w:rsidRPr="00FA158B" w:rsidRDefault="00F97290" w:rsidP="00704A7D">
      <w:pPr>
        <w:pStyle w:val="SPuce"/>
      </w:pPr>
      <w:proofErr w:type="gramStart"/>
      <w:r w:rsidRPr="00FA158B">
        <w:t>la</w:t>
      </w:r>
      <w:proofErr w:type="gramEnd"/>
      <w:r w:rsidRPr="00FA158B">
        <w:t xml:space="preserve"> durée d’utilisation de la puissance. </w:t>
      </w:r>
    </w:p>
    <w:p w14:paraId="052E417A" w14:textId="77777777" w:rsidR="00F97290" w:rsidRPr="00FA158B" w:rsidRDefault="00F97290" w:rsidP="000C0CCD">
      <w:pPr>
        <w:pStyle w:val="Titre4"/>
      </w:pPr>
      <w:r w:rsidRPr="00FA158B">
        <w:t>Points de Livraison HTA dont la Puissance Souscrite est supérieure ou égale à 250 kW ou pour lesquels le Fournisseur a choisi un Service de comptage à Courbe de charge</w:t>
      </w:r>
    </w:p>
    <w:p w14:paraId="5A929E6A" w14:textId="77777777" w:rsidR="00F97290" w:rsidRPr="00FA158B" w:rsidRDefault="00F97290" w:rsidP="009C3752">
      <w:r w:rsidRPr="00FA158B">
        <w:t xml:space="preserve">Le Dispositif de comptage visé à l’article </w:t>
      </w:r>
      <w:r w:rsidR="00983D6B" w:rsidRPr="00FA158B">
        <w:fldChar w:fldCharType="begin"/>
      </w:r>
      <w:r w:rsidR="00983D6B" w:rsidRPr="00FA158B">
        <w:instrText xml:space="preserve"> REF _Ref68689025 \r \h  \* MERGEFORMAT </w:instrText>
      </w:r>
      <w:r w:rsidR="00983D6B" w:rsidRPr="00FA158B">
        <w:fldChar w:fldCharType="separate"/>
      </w:r>
      <w:r w:rsidR="005E7E99">
        <w:t>3.1</w:t>
      </w:r>
      <w:r w:rsidR="00983D6B" w:rsidRPr="00FA158B">
        <w:fldChar w:fldCharType="end"/>
      </w:r>
      <w:r w:rsidRPr="00FA158B">
        <w:t xml:space="preserve"> des présentes dispositions générales effectue, en outre, la mesure et stocke les données de comptage suivantes :</w:t>
      </w:r>
    </w:p>
    <w:p w14:paraId="45D43215" w14:textId="77777777" w:rsidR="00F97290" w:rsidRPr="00FA158B" w:rsidRDefault="00F97290" w:rsidP="0004412B">
      <w:pPr>
        <w:pStyle w:val="SPuce"/>
      </w:pPr>
      <w:proofErr w:type="gramStart"/>
      <w:r w:rsidRPr="00FA158B">
        <w:t>la</w:t>
      </w:r>
      <w:proofErr w:type="gramEnd"/>
      <w:r w:rsidRPr="00FA158B">
        <w:t xml:space="preserve"> puissance active, exprimée en kW, égale à une valeur moyenne calculée sur une période d’intégration consécutive et de même durée. Chacune de ces valeurs de puissance active est datée (année, jour, heure, minute) et stockée dans le Compteur pour le </w:t>
      </w:r>
      <w:proofErr w:type="spellStart"/>
      <w:r w:rsidRPr="00FA158B">
        <w:t>Télérelevé</w:t>
      </w:r>
      <w:proofErr w:type="spellEnd"/>
      <w:r w:rsidRPr="00FA158B">
        <w:t xml:space="preserve">. L’ensemble de ces valeurs est </w:t>
      </w:r>
      <w:proofErr w:type="gramStart"/>
      <w:r w:rsidRPr="00FA158B">
        <w:t>appelée</w:t>
      </w:r>
      <w:proofErr w:type="gramEnd"/>
      <w:r w:rsidRPr="00FA158B">
        <w:t xml:space="preserve"> Courbe de Charge du Site.</w:t>
      </w:r>
    </w:p>
    <w:p w14:paraId="789226D8" w14:textId="77777777" w:rsidR="00F97290" w:rsidRPr="00FA158B" w:rsidRDefault="00F97290" w:rsidP="00704A7D">
      <w:r w:rsidRPr="00FA158B">
        <w:t xml:space="preserve">Ces données sont également transmises au Fournisseur selon les services souscrits par le Fournisseur. </w:t>
      </w:r>
    </w:p>
    <w:p w14:paraId="19E916CB" w14:textId="77777777" w:rsidR="00F97290" w:rsidRPr="00FA158B" w:rsidRDefault="00F97290" w:rsidP="000C0CCD">
      <w:pPr>
        <w:pStyle w:val="Titre3"/>
      </w:pPr>
      <w:bookmarkStart w:id="142" w:name="_Ref143072328"/>
      <w:bookmarkStart w:id="143" w:name="_Toc21422431"/>
      <w:bookmarkStart w:id="144" w:name="_Ref32122945"/>
      <w:r w:rsidRPr="00FA158B">
        <w:t>Prestations de comptage de base</w:t>
      </w:r>
      <w:bookmarkEnd w:id="142"/>
      <w:bookmarkEnd w:id="143"/>
    </w:p>
    <w:p w14:paraId="1E1C39FF" w14:textId="28404F77" w:rsidR="00F97290" w:rsidRPr="00FA158B" w:rsidRDefault="0076712A" w:rsidP="009C3752">
      <w:r>
        <w:t>Le GRD</w:t>
      </w:r>
      <w:r w:rsidR="00F97290" w:rsidRPr="00FA158B">
        <w:t xml:space="preserve"> effectue une prestation de contrôle, de relevé, de mise à disposition de données et de reconstitution des flux,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 ou d'évolution des services demandés par le Fournisseur.</w:t>
      </w:r>
    </w:p>
    <w:p w14:paraId="3BE9B3B8" w14:textId="46354FDD" w:rsidR="00F97290" w:rsidRPr="00FA158B" w:rsidRDefault="0076712A" w:rsidP="009C3752">
      <w:r>
        <w:t>Le GRD</w:t>
      </w:r>
      <w:r w:rsidRPr="00FA158B">
        <w:t xml:space="preserve"> </w:t>
      </w:r>
      <w:r w:rsidR="00F97290" w:rsidRPr="00FA158B">
        <w:t>fournit au Fournisseur les données de comptage selon les modalités ci-dessous.</w:t>
      </w:r>
    </w:p>
    <w:p w14:paraId="0FA069A5" w14:textId="77777777" w:rsidR="00F97290" w:rsidRPr="00FA158B" w:rsidRDefault="00F97290" w:rsidP="009C3752">
      <w:r w:rsidRPr="00FA158B">
        <w:t>Dans tous les cas visés au présent article, l’utilisation et la diffusion des informations correspondantes sont sous la responsabilité du Fournisseur.</w:t>
      </w:r>
    </w:p>
    <w:p w14:paraId="1801A394" w14:textId="77777777" w:rsidR="00F97290" w:rsidRPr="00FA158B" w:rsidRDefault="00F97290" w:rsidP="000C0CCD">
      <w:pPr>
        <w:pStyle w:val="Titre4"/>
      </w:pPr>
      <w:r w:rsidRPr="00FA158B">
        <w:t xml:space="preserve">Tous Points de Livraison HTA </w:t>
      </w:r>
    </w:p>
    <w:p w14:paraId="11ED26EE" w14:textId="1A18FA23" w:rsidR="00F97290" w:rsidRPr="00FC54DE" w:rsidRDefault="00F97290" w:rsidP="00704A7D">
      <w:pPr>
        <w:pStyle w:val="SPuce"/>
      </w:pPr>
      <w:r w:rsidRPr="00FC54DE">
        <w:t>Mise à disposition mensuelle</w:t>
      </w:r>
      <w:r w:rsidR="00F12B17" w:rsidRPr="00FC54DE">
        <w:rPr>
          <w:b/>
          <w:color w:val="FF0000"/>
        </w:rPr>
        <w:t xml:space="preserve"> </w:t>
      </w:r>
      <w:r w:rsidRPr="00FC54DE">
        <w:t>des données de comptage :</w:t>
      </w:r>
    </w:p>
    <w:p w14:paraId="51FB3AD9" w14:textId="77777777" w:rsidR="00F97290" w:rsidRPr="00FA158B" w:rsidRDefault="00F97290" w:rsidP="00CF0D7B">
      <w:pPr>
        <w:pStyle w:val="SPuce"/>
        <w:numPr>
          <w:ilvl w:val="1"/>
          <w:numId w:val="1"/>
        </w:numPr>
      </w:pPr>
      <w:proofErr w:type="gramStart"/>
      <w:r w:rsidRPr="00FA158B">
        <w:t>les</w:t>
      </w:r>
      <w:proofErr w:type="gramEnd"/>
      <w:r w:rsidRPr="00FA158B">
        <w:t xml:space="preserve"> valeurs d’énergie active calculées par différences d’index ;</w:t>
      </w:r>
    </w:p>
    <w:p w14:paraId="2E0D6E20" w14:textId="77777777" w:rsidR="00F97290" w:rsidRPr="00FA158B" w:rsidRDefault="00F97290" w:rsidP="00CF0D7B">
      <w:pPr>
        <w:pStyle w:val="SPuce"/>
        <w:numPr>
          <w:ilvl w:val="1"/>
          <w:numId w:val="1"/>
        </w:numPr>
      </w:pPr>
      <w:proofErr w:type="gramStart"/>
      <w:r w:rsidRPr="00FA158B">
        <w:t>la</w:t>
      </w:r>
      <w:proofErr w:type="gramEnd"/>
      <w:r w:rsidRPr="00FA158B">
        <w:t xml:space="preserve"> durée des dépassements ou la quantité d’énergie de dépassement selon le type de compteurs ;</w:t>
      </w:r>
    </w:p>
    <w:p w14:paraId="54468C8D" w14:textId="77777777" w:rsidR="00F97290" w:rsidRPr="00FA158B" w:rsidRDefault="00F97290" w:rsidP="00704A7D">
      <w:pPr>
        <w:pStyle w:val="SPuce"/>
        <w:numPr>
          <w:ilvl w:val="1"/>
          <w:numId w:val="1"/>
        </w:numPr>
        <w:spacing w:after="240"/>
        <w:ind w:left="1434" w:hanging="357"/>
      </w:pPr>
      <w:proofErr w:type="gramStart"/>
      <w:r w:rsidRPr="00FA158B">
        <w:t>les</w:t>
      </w:r>
      <w:proofErr w:type="gramEnd"/>
      <w:r w:rsidRPr="00FA158B">
        <w:t xml:space="preserve"> valeurs d’énergie réactive consommée calculées par différences d’index, lorsque le Compteur le permet.</w:t>
      </w:r>
    </w:p>
    <w:p w14:paraId="318AEFA4" w14:textId="77777777" w:rsidR="00A8767A" w:rsidRPr="00FA158B" w:rsidRDefault="00A8767A" w:rsidP="00A8767A">
      <w:pPr>
        <w:pStyle w:val="SPuce"/>
        <w:numPr>
          <w:ilvl w:val="0"/>
          <w:numId w:val="0"/>
        </w:numPr>
        <w:spacing w:after="240"/>
        <w:ind w:left="1434"/>
      </w:pPr>
    </w:p>
    <w:p w14:paraId="3A182811" w14:textId="77777777" w:rsidR="00F97290" w:rsidRPr="00FA158B" w:rsidRDefault="00F97290" w:rsidP="00704A7D">
      <w:pPr>
        <w:pStyle w:val="SPuce"/>
      </w:pPr>
      <w:r w:rsidRPr="00FA158B">
        <w:t>Bornier Client</w:t>
      </w:r>
    </w:p>
    <w:p w14:paraId="4BC5E493" w14:textId="06459DA4" w:rsidR="00F97290" w:rsidRPr="00FA158B" w:rsidRDefault="00F97290" w:rsidP="009C3752">
      <w:r w:rsidRPr="00FA158B">
        <w:t xml:space="preserve">Quand le Dispositif de comptage le permet, </w:t>
      </w:r>
      <w:r w:rsidR="0076712A">
        <w:t>le GRD</w:t>
      </w:r>
      <w:r w:rsidRPr="00FA158B">
        <w:t xml:space="preserve"> met à disposition du Client qui le souhaite, sur un bornier de comptage auquel le Client a libre accès, les informations suivantes selon le Dispositif de </w:t>
      </w:r>
      <w:proofErr w:type="gramStart"/>
      <w:r w:rsidRPr="00FA158B">
        <w:t>comptage:</w:t>
      </w:r>
      <w:proofErr w:type="gramEnd"/>
      <w:r w:rsidRPr="00FA158B">
        <w:t xml:space="preserve"> </w:t>
      </w:r>
    </w:p>
    <w:p w14:paraId="01DEB16D" w14:textId="37BD5394" w:rsidR="00F97290" w:rsidRPr="00FA158B" w:rsidRDefault="00F97290" w:rsidP="00CF0D7B">
      <w:pPr>
        <w:pStyle w:val="SPuce"/>
        <w:numPr>
          <w:ilvl w:val="1"/>
          <w:numId w:val="1"/>
        </w:numPr>
      </w:pPr>
      <w:proofErr w:type="gramStart"/>
      <w:r w:rsidRPr="00FA158B">
        <w:t>les</w:t>
      </w:r>
      <w:proofErr w:type="gramEnd"/>
      <w:r w:rsidRPr="00FA158B">
        <w:t xml:space="preserve"> énergies actives mesurées ; la mesure est délivrée par des impulsions dont le calibrage est effectué par </w:t>
      </w:r>
      <w:r w:rsidR="0076712A">
        <w:t>le GRD</w:t>
      </w:r>
      <w:r w:rsidRPr="00FA158B">
        <w:t> ;</w:t>
      </w:r>
    </w:p>
    <w:p w14:paraId="574943CA" w14:textId="77777777" w:rsidR="00F97290" w:rsidRPr="00FA158B" w:rsidRDefault="00F97290" w:rsidP="00CF0D7B">
      <w:pPr>
        <w:pStyle w:val="SPuce"/>
        <w:numPr>
          <w:ilvl w:val="1"/>
          <w:numId w:val="1"/>
        </w:numPr>
      </w:pPr>
      <w:proofErr w:type="gramStart"/>
      <w:r w:rsidRPr="00FA158B">
        <w:t>la</w:t>
      </w:r>
      <w:proofErr w:type="gramEnd"/>
      <w:r w:rsidRPr="00FA158B">
        <w:t xml:space="preserve"> référence horaire utilisée par le Compteur sous forme de tops temporels ;</w:t>
      </w:r>
    </w:p>
    <w:p w14:paraId="30BA8822" w14:textId="36EEDF73" w:rsidR="00F97290" w:rsidRPr="00FA158B" w:rsidRDefault="00F97290" w:rsidP="00CF0D7B">
      <w:pPr>
        <w:pStyle w:val="SPuce"/>
        <w:numPr>
          <w:ilvl w:val="1"/>
          <w:numId w:val="1"/>
        </w:numPr>
      </w:pPr>
      <w:r w:rsidRPr="00FA158B">
        <w:t xml:space="preserve"> </w:t>
      </w:r>
      <w:proofErr w:type="gramStart"/>
      <w:r w:rsidRPr="00FA158B">
        <w:t>des</w:t>
      </w:r>
      <w:proofErr w:type="gramEnd"/>
      <w:r w:rsidRPr="00FA158B">
        <w:t xml:space="preserve"> informations de type numériques ("télé-information") et des contacts tarifaires. </w:t>
      </w:r>
      <w:r w:rsidR="00FA158B">
        <w:t>Le GRD</w:t>
      </w:r>
      <w:r w:rsidR="00FA158B" w:rsidRPr="00FA158B">
        <w:t xml:space="preserve"> </w:t>
      </w:r>
      <w:r w:rsidRPr="00FA158B">
        <w:t xml:space="preserve">publie sur son </w:t>
      </w:r>
      <w:r w:rsidR="00FA158B" w:rsidRPr="00FC54DE">
        <w:t>S</w:t>
      </w:r>
      <w:r w:rsidRPr="00FC54DE">
        <w:t>ite</w:t>
      </w:r>
      <w:r w:rsidR="00FA158B" w:rsidRPr="00FC54DE">
        <w:t xml:space="preserve"> internet</w:t>
      </w:r>
      <w:r w:rsidR="00FC54DE" w:rsidRPr="00FC54DE">
        <w:t xml:space="preserve"> </w:t>
      </w:r>
      <w:hyperlink r:id="rId21" w:history="1">
        <w:r w:rsidR="00FC54DE" w:rsidRPr="00FC54DE">
          <w:rPr>
            <w:rStyle w:val="Lienhypertexte"/>
          </w:rPr>
          <w:t>https://tignelec.com</w:t>
        </w:r>
      </w:hyperlink>
      <w:r w:rsidR="00FC54DE" w:rsidRPr="00FC54DE">
        <w:t xml:space="preserve"> o</w:t>
      </w:r>
      <w:r w:rsidR="0012052E" w:rsidRPr="00FC54DE">
        <w:rPr>
          <w:color w:val="auto"/>
        </w:rPr>
        <w:t xml:space="preserve">u sur demande à l’adresse </w:t>
      </w:r>
      <w:hyperlink r:id="rId22" w:history="1">
        <w:r w:rsidR="00FC54DE" w:rsidRPr="00FC54DE">
          <w:rPr>
            <w:rStyle w:val="Lienhypertexte"/>
          </w:rPr>
          <w:t>accueil@tig.regielec.fr</w:t>
        </w:r>
      </w:hyperlink>
      <w:r w:rsidR="0012052E" w:rsidRPr="00FC54DE">
        <w:rPr>
          <w:color w:val="FF0000"/>
        </w:rPr>
        <w:t xml:space="preserve"> </w:t>
      </w:r>
      <w:r w:rsidRPr="00FC54DE">
        <w:t>les informations nécessaires à l’exploitation de ces dispositifs.</w:t>
      </w:r>
    </w:p>
    <w:p w14:paraId="7F055278" w14:textId="11F77568" w:rsidR="00F97290" w:rsidRPr="00FA158B" w:rsidRDefault="00F97290" w:rsidP="009C3752">
      <w:r w:rsidRPr="00FA158B">
        <w:lastRenderedPageBreak/>
        <w:t xml:space="preserve">Les informations délivrées par le bornier sont des Données Brutes. Ces données ne sont donc qu'indicatives et ne peuvent en aucun cas être utilisées à des fins de facturation ou de contestation. La pérennité du format des signaux fournis n’est pas garantie par </w:t>
      </w:r>
      <w:r w:rsidR="0076712A">
        <w:t>le GRD</w:t>
      </w:r>
      <w:r w:rsidRPr="00FA158B">
        <w:t>, ainsi les contacts peuvent être remplacés par des transmissions numériques en cas de changement de Compteur. L’utilisateur prend alors en charge l'adaptation de ses interfaces.</w:t>
      </w:r>
    </w:p>
    <w:p w14:paraId="0A39C8CC" w14:textId="77777777" w:rsidR="00F97290" w:rsidRPr="00FA158B" w:rsidRDefault="00F97290" w:rsidP="00704A7D">
      <w:pPr>
        <w:pStyle w:val="SPuce"/>
      </w:pPr>
      <w:r w:rsidRPr="00FA158B">
        <w:t xml:space="preserve">Le cas échéant, service de </w:t>
      </w:r>
      <w:proofErr w:type="spellStart"/>
      <w:r w:rsidRPr="00FA158B">
        <w:t>Télérelevé</w:t>
      </w:r>
      <w:proofErr w:type="spellEnd"/>
      <w:r w:rsidRPr="00FA158B">
        <w:t xml:space="preserve"> selon les modalités du </w:t>
      </w:r>
      <w:r w:rsidR="00983D6B" w:rsidRPr="00FA158B">
        <w:fldChar w:fldCharType="begin"/>
      </w:r>
      <w:r w:rsidR="00983D6B" w:rsidRPr="00FA158B">
        <w:instrText xml:space="preserve"> REF _Ref145237853 \r \h  \* MERGEFORMAT </w:instrText>
      </w:r>
      <w:r w:rsidR="00983D6B" w:rsidRPr="00FA158B">
        <w:fldChar w:fldCharType="separate"/>
      </w:r>
      <w:r w:rsidR="005E7E99">
        <w:t>3.2.2.2</w:t>
      </w:r>
      <w:r w:rsidR="00983D6B" w:rsidRPr="00FA158B">
        <w:fldChar w:fldCharType="end"/>
      </w:r>
      <w:r w:rsidRPr="00FA158B">
        <w:t>.</w:t>
      </w:r>
    </w:p>
    <w:p w14:paraId="65D8EFAE" w14:textId="77777777" w:rsidR="00F97290" w:rsidRPr="00FA158B" w:rsidRDefault="00F97290" w:rsidP="000C0CCD">
      <w:pPr>
        <w:pStyle w:val="Titre4"/>
      </w:pPr>
      <w:bookmarkStart w:id="145" w:name="_Ref145237853"/>
      <w:r w:rsidRPr="00FA158B">
        <w:t>Points de Livraison HTA pour lesquels le Fournisseur a choisi un Service de comptage à Courbe de charge</w:t>
      </w:r>
    </w:p>
    <w:p w14:paraId="4E6FE18B" w14:textId="77777777" w:rsidR="00F97290" w:rsidRPr="00FA158B" w:rsidRDefault="00F97290" w:rsidP="00704A7D">
      <w:pPr>
        <w:pStyle w:val="SPuce"/>
      </w:pPr>
      <w:r w:rsidRPr="00FA158B">
        <w:t xml:space="preserve">Mise à disposition de la Courbe de Charge </w:t>
      </w:r>
    </w:p>
    <w:p w14:paraId="352C6A96" w14:textId="5D5FD678" w:rsidR="00F97290" w:rsidRPr="00FA158B" w:rsidRDefault="0076712A" w:rsidP="009C3752">
      <w:r>
        <w:t>Le GRD</w:t>
      </w:r>
      <w:r w:rsidR="00F97290" w:rsidRPr="00FA158B">
        <w:t xml:space="preserve"> adresse au Fournisseur qui le souhaite, par flux ou par messagerie électronique, les puissances actives validées par période d’intégration consécutive et de même durée, selon le service souscrit par le Fournisseur.</w:t>
      </w:r>
    </w:p>
    <w:p w14:paraId="0401D536" w14:textId="77777777" w:rsidR="00F97290" w:rsidRPr="00FA158B" w:rsidRDefault="00F97290" w:rsidP="000C0CCD">
      <w:pPr>
        <w:pStyle w:val="Titre4"/>
      </w:pPr>
      <w:r w:rsidRPr="00FA158B">
        <w:t xml:space="preserve">Cas d’un Dispositif de comptage </w:t>
      </w:r>
      <w:bookmarkEnd w:id="145"/>
      <w:proofErr w:type="spellStart"/>
      <w:r w:rsidRPr="00FA158B">
        <w:t>Télérelevé</w:t>
      </w:r>
      <w:proofErr w:type="spellEnd"/>
    </w:p>
    <w:p w14:paraId="555D2E7D" w14:textId="4C08F8FA" w:rsidR="00F97290" w:rsidRPr="00FA158B" w:rsidRDefault="00F97290" w:rsidP="009C3752">
      <w:r w:rsidRPr="00FA158B">
        <w:t xml:space="preserve">Un accès dédié </w:t>
      </w:r>
      <w:r w:rsidR="0076712A">
        <w:t>au GRD</w:t>
      </w:r>
      <w:r w:rsidRPr="00FA158B">
        <w:t xml:space="preserve"> est réservé aux opérations de relevé et de programmation du Compteur. En fonction de la technologie utilisée sur cet accès, </w:t>
      </w:r>
      <w:r w:rsidR="0076712A">
        <w:t>le GRD</w:t>
      </w:r>
      <w:r w:rsidRPr="00FA158B">
        <w:t xml:space="preserve"> peut autoriser le Client à l’utiliser pour accéder aux Données Brutes en respectant la plage horaire d’une durée limitée définie par </w:t>
      </w:r>
      <w:r w:rsidR="0076712A">
        <w:t>le GRD</w:t>
      </w:r>
      <w:r w:rsidRPr="00FA158B">
        <w:t xml:space="preserve">. Cette autorisation est donnée à titre précaire et pourra être supprimée par </w:t>
      </w:r>
      <w:r w:rsidR="0076712A">
        <w:t>le GRD</w:t>
      </w:r>
      <w:r w:rsidRPr="00FA158B">
        <w:t xml:space="preserve">. Dans ce cas, </w:t>
      </w:r>
      <w:r w:rsidR="0076712A">
        <w:t>le GRD</w:t>
      </w:r>
      <w:r w:rsidRPr="00FA158B">
        <w:t xml:space="preserve"> en informera préalablement le Client. Par ailleurs, si les accès effectués par le Client ou un tiers désigné par lui ne respectent pas la tranche horaire définie par </w:t>
      </w:r>
      <w:r w:rsidR="0076712A">
        <w:t>le GRD</w:t>
      </w:r>
      <w:r w:rsidRPr="00FA158B">
        <w:t xml:space="preserve"> et/ou gênent </w:t>
      </w:r>
      <w:r w:rsidR="0076712A">
        <w:t>le GRD</w:t>
      </w:r>
      <w:r w:rsidRPr="00FA158B">
        <w:t xml:space="preserve"> dans sa mission de relevé des données de comptage, </w:t>
      </w:r>
      <w:r w:rsidR="0076712A">
        <w:t>le GRD</w:t>
      </w:r>
      <w:r w:rsidRPr="00FA158B">
        <w:t xml:space="preserve"> pourra supprimer cette autorisation, après un premier préavis resté sans effet.</w:t>
      </w:r>
    </w:p>
    <w:p w14:paraId="72CD6240" w14:textId="50CB91E8" w:rsidR="00F97290" w:rsidRPr="00FA158B" w:rsidRDefault="00F97290" w:rsidP="009C3752">
      <w:r w:rsidRPr="00FA158B">
        <w:t xml:space="preserve">Lorsque le Dispositif de comptage le permet, et en particulier lorsque le Client dispose d’un Compteur Communicant, le Client peut bénéficier d’un accès indépendant de l’accès dédié </w:t>
      </w:r>
      <w:r w:rsidR="0076712A">
        <w:t>au GRD</w:t>
      </w:r>
      <w:r w:rsidRPr="00FA158B">
        <w:t>. Le Client, ou un tiers désigné par lui, peut alors accéder aux Données Brutes sans restriction de plage horaire.</w:t>
      </w:r>
    </w:p>
    <w:p w14:paraId="4C3F2038" w14:textId="3B2B05A5" w:rsidR="00F97290" w:rsidRPr="00FA158B" w:rsidRDefault="00F97290" w:rsidP="009C3752">
      <w:r w:rsidRPr="00FA158B">
        <w:t xml:space="preserve">Dans tous les cas, </w:t>
      </w:r>
      <w:r w:rsidR="0076712A">
        <w:t>le GRD</w:t>
      </w:r>
      <w:r w:rsidRPr="00FA158B">
        <w:t xml:space="preserve"> communique au Fournisseur les éléments nécessaires à l’interrogation sécurisée à distance du Compteur. Ce service nécessite que le Client, ou son Fournisseur, dispose d’un logiciel lui permettant d’accéder aux données délivrées par le Dispositif de comptage à distance et de les traiter. En cas de modification du Dispositif de comptage, </w:t>
      </w:r>
      <w:r w:rsidR="0076712A">
        <w:t>le GRD</w:t>
      </w:r>
      <w:r w:rsidRPr="00FA158B">
        <w:t xml:space="preserve"> peut être amené à modifier les conditions d'accès à distance des données (protocole, format,</w:t>
      </w:r>
      <w:r w:rsidR="002B3E0E">
        <w:t xml:space="preserve"> </w:t>
      </w:r>
      <w:r w:rsidRPr="00FA158B">
        <w:t xml:space="preserve">…). Dans ce cas, </w:t>
      </w:r>
      <w:r w:rsidR="0076712A">
        <w:t>le GRD</w:t>
      </w:r>
      <w:r w:rsidRPr="00FA158B">
        <w:t xml:space="preserve"> en informe préalablement le Client et le Fournisseur. Le Client ou son Fournisseur doit prendre à sa charge les éventuels frais permettant d’assurer le fonctionnement des appareils et logiciels de sa station de relevé.</w:t>
      </w:r>
    </w:p>
    <w:p w14:paraId="2CC3DEA2" w14:textId="77777777" w:rsidR="00F97290" w:rsidRPr="00FA158B" w:rsidRDefault="00F97290" w:rsidP="009C3752">
      <w:r w:rsidRPr="00FA158B">
        <w:t>Le Client ou un tiers désigné par lui peut également accéder aux Données Brutes du Compteur dans les conditions précitées ci-dessus.</w:t>
      </w:r>
    </w:p>
    <w:p w14:paraId="7140C1F8" w14:textId="77777777" w:rsidR="00F97290" w:rsidRPr="00FA158B" w:rsidRDefault="00F97290" w:rsidP="000C0CCD">
      <w:pPr>
        <w:pStyle w:val="Titre3"/>
      </w:pPr>
      <w:bookmarkStart w:id="146" w:name="_Toc21422432"/>
      <w:r w:rsidRPr="00FA158B">
        <w:t>Prestations de comptage complémentaires</w:t>
      </w:r>
      <w:bookmarkEnd w:id="146"/>
    </w:p>
    <w:p w14:paraId="5C5E2E1E" w14:textId="4160110E" w:rsidR="00F97290" w:rsidRPr="00FA158B" w:rsidRDefault="00F97290" w:rsidP="009C3752">
      <w:bookmarkStart w:id="147" w:name="_Ref143059791"/>
      <w:r w:rsidRPr="00FA158B">
        <w:t xml:space="preserve">Outre les prestations de comptage de base décrites à l'article précédent, le Fournisseur peut, s'il le souhaite, demander une ou des prestation(s) complémentaire(s) de comptage. Ces prestations complémentaires de comptage sont présentées dans le Catalogue des prestations </w:t>
      </w:r>
      <w:r w:rsidR="0076712A">
        <w:t>du GRD</w:t>
      </w:r>
      <w:r w:rsidRPr="00FA158B">
        <w:t xml:space="preserve"> en vigueur.</w:t>
      </w:r>
    </w:p>
    <w:p w14:paraId="241C2BD0" w14:textId="34087896" w:rsidR="00F97290" w:rsidRPr="00FA158B" w:rsidRDefault="00F97290" w:rsidP="000C0CCD">
      <w:pPr>
        <w:pStyle w:val="Titre3"/>
      </w:pPr>
      <w:bookmarkStart w:id="148" w:name="_Ref165397971"/>
      <w:bookmarkStart w:id="149" w:name="_Ref165451364"/>
      <w:bookmarkStart w:id="150" w:name="_Toc21422433"/>
      <w:bookmarkEnd w:id="147"/>
      <w:r w:rsidRPr="00FA158B">
        <w:t>Modalités de correction ou de remplacement en cas de défaillance du Dispositif de comptage</w:t>
      </w:r>
      <w:bookmarkEnd w:id="144"/>
      <w:bookmarkEnd w:id="148"/>
      <w:bookmarkEnd w:id="149"/>
      <w:r w:rsidRPr="00FA158B">
        <w:t xml:space="preserve"> ou de fraude</w:t>
      </w:r>
      <w:bookmarkEnd w:id="150"/>
    </w:p>
    <w:p w14:paraId="67C98827" w14:textId="1D7B2E04" w:rsidR="00F97290" w:rsidRPr="00FA158B" w:rsidRDefault="00F97290" w:rsidP="009C3752">
      <w:r w:rsidRPr="00FA158B">
        <w:t xml:space="preserve">En cas d'arrêt ou de dysfonctionnement du Dispositif de comptage, ayant une incidence sur l’enregistrement des consommations, ou de fraude, des corrections sont effectuées par </w:t>
      </w:r>
      <w:r w:rsidR="0076712A">
        <w:t>le GRD</w:t>
      </w:r>
      <w:r w:rsidRPr="00FA158B">
        <w:t xml:space="preserve"> selon les modalités suivantes. </w:t>
      </w:r>
    </w:p>
    <w:p w14:paraId="397925D9" w14:textId="77777777" w:rsidR="00F97290" w:rsidRPr="00FA158B" w:rsidRDefault="00F97290" w:rsidP="000C0CCD">
      <w:pPr>
        <w:pStyle w:val="Titre4"/>
      </w:pPr>
      <w:bookmarkStart w:id="151" w:name="_Ref100982823"/>
      <w:bookmarkStart w:id="152" w:name="_Ref165456623"/>
      <w:r w:rsidRPr="00FA158B">
        <w:t>Correction sur le calcul de la consommation par différence d’index</w:t>
      </w:r>
      <w:bookmarkEnd w:id="151"/>
    </w:p>
    <w:bookmarkEnd w:id="152"/>
    <w:p w14:paraId="77ADBBF6" w14:textId="45EFE38F" w:rsidR="00F97290" w:rsidRPr="00FA158B" w:rsidRDefault="0076712A" w:rsidP="009C3752">
      <w:r>
        <w:t>Le GRD</w:t>
      </w:r>
      <w:r w:rsidRPr="00FA158B">
        <w:t xml:space="preserve"> </w:t>
      </w:r>
      <w:r w:rsidR="00F97290" w:rsidRPr="00FA158B">
        <w:t xml:space="preserve">informe le Client de l’évaluation des consommations à rectifier. Cette évaluation est faite par comparaison avec des périodes similaires de consommation comparables, du PDL concerné ou avec celles de PDL présentant des caractéristiques de consommation comparables. </w:t>
      </w:r>
      <w:r>
        <w:t>Le GRD</w:t>
      </w:r>
      <w:r w:rsidR="00F97290" w:rsidRPr="00FA158B">
        <w:t xml:space="preserve"> peut modifier cette évaluation sur la base d'éléments circonstanciés communiqués par le Client notamment les données délivrées par les dispositifs de comptage éventuellement installés par le Client sur ses installations conformément à l’article </w:t>
      </w:r>
      <w:r w:rsidR="00320193" w:rsidRPr="00FA158B">
        <w:fldChar w:fldCharType="begin"/>
      </w:r>
      <w:r w:rsidR="00A8767A" w:rsidRPr="00FA158B">
        <w:instrText xml:space="preserve"> REF _Ref146425878 \r \h </w:instrText>
      </w:r>
      <w:r w:rsidR="00FA158B">
        <w:instrText xml:space="preserve"> \* MERGEFORMAT </w:instrText>
      </w:r>
      <w:r w:rsidR="00320193" w:rsidRPr="00FA158B">
        <w:fldChar w:fldCharType="separate"/>
      </w:r>
      <w:r w:rsidR="005E7E99">
        <w:t>3.1.1.3</w:t>
      </w:r>
      <w:r w:rsidR="00320193" w:rsidRPr="00FA158B">
        <w:fldChar w:fldCharType="end"/>
      </w:r>
      <w:r w:rsidR="00A8767A" w:rsidRPr="00FA158B">
        <w:t xml:space="preserve"> </w:t>
      </w:r>
      <w:r w:rsidR="00F97290" w:rsidRPr="00FA158B">
        <w:t>des présentes dispositions générales. Sans réponse du Client à la proposition d</w:t>
      </w:r>
      <w:r w:rsidR="00B36813" w:rsidRPr="00FA158B">
        <w:t>’</w:t>
      </w:r>
      <w:r w:rsidR="00F97290" w:rsidRPr="00FA158B">
        <w:t xml:space="preserve">évaluation dans un délai de 30 jours calendaires, l’évaluation produite est considérée comme validée et </w:t>
      </w:r>
      <w:r>
        <w:t>le GRD</w:t>
      </w:r>
      <w:r w:rsidR="00F97290" w:rsidRPr="00FA158B">
        <w:t xml:space="preserve"> procède à la rectification.</w:t>
      </w:r>
    </w:p>
    <w:p w14:paraId="5F10CD2B" w14:textId="1EF9B1E7" w:rsidR="00F97290" w:rsidRPr="00FA158B" w:rsidRDefault="00F97290" w:rsidP="009C3752">
      <w:r w:rsidRPr="00FA158B">
        <w:t xml:space="preserve">Les données corrigées constituent alors les données de comptage d’énergie active soutirée par chaque Point de Livraison faisant foi pour l'élaboration de la facture adressée par </w:t>
      </w:r>
      <w:r w:rsidR="0076712A">
        <w:t>le GRD</w:t>
      </w:r>
      <w:r w:rsidRPr="00FA158B">
        <w:t xml:space="preserve"> au Fournisseur.</w:t>
      </w:r>
    </w:p>
    <w:p w14:paraId="229BCDC1" w14:textId="77777777" w:rsidR="00F97290" w:rsidRPr="00FA158B" w:rsidRDefault="00F97290" w:rsidP="000C0CCD">
      <w:pPr>
        <w:pStyle w:val="Titre4"/>
      </w:pPr>
      <w:r w:rsidRPr="00FA158B">
        <w:lastRenderedPageBreak/>
        <w:t>Correction sur les Courbes de Charge mesurées</w:t>
      </w:r>
    </w:p>
    <w:p w14:paraId="4E312481" w14:textId="77777777" w:rsidR="00F97290" w:rsidRPr="00FA158B" w:rsidRDefault="00F97290" w:rsidP="0004412B">
      <w:pPr>
        <w:pStyle w:val="SPuce"/>
        <w:ind w:left="227" w:hanging="227"/>
      </w:pPr>
      <w:r w:rsidRPr="00FA158B">
        <w:t>S’agissant des données absentes ou invalides pendant une période inférieure ou égale à une heure, les grandeurs manquantes ou invalides sont remplacées par interpolation linéaire à partir des grandeurs encadrantes.</w:t>
      </w:r>
    </w:p>
    <w:p w14:paraId="4E5235F7" w14:textId="77777777" w:rsidR="00F97290" w:rsidRPr="00FA158B" w:rsidRDefault="00F97290" w:rsidP="0004412B">
      <w:pPr>
        <w:pStyle w:val="SPuce"/>
        <w:ind w:left="227" w:hanging="227"/>
      </w:pPr>
      <w:r w:rsidRPr="00FA158B">
        <w:t xml:space="preserve">S’agissant des données absentes ou invalides pendant une période strictement supérieure à une heure, les grandeurs manquantes sont remplacées par des données mesurées le même jour de la semaine précédente (J-7) pendant le même intervalle, éventuellement corrigées pour tenir compte d’informations complémentaires (notamment connaissance des index énergie, évolution de puissances souscrites, et en tant que de besoin, les données délivrées par les Dispositifs de comptage éventuellement installés par le Client conformément à l’article </w:t>
      </w:r>
      <w:r w:rsidR="00983D6B" w:rsidRPr="00FA158B">
        <w:fldChar w:fldCharType="begin"/>
      </w:r>
      <w:r w:rsidR="00983D6B" w:rsidRPr="00FA158B">
        <w:instrText xml:space="preserve"> REF _Ref109185126 \r \h  \* MERGEFORMAT </w:instrText>
      </w:r>
      <w:r w:rsidR="00983D6B" w:rsidRPr="00FA158B">
        <w:fldChar w:fldCharType="separate"/>
      </w:r>
      <w:r w:rsidR="005E7E99">
        <w:t>3.1.1.4</w:t>
      </w:r>
      <w:r w:rsidR="00983D6B" w:rsidRPr="00FA158B">
        <w:fldChar w:fldCharType="end"/>
      </w:r>
      <w:r w:rsidRPr="00FA158B">
        <w:t xml:space="preserve"> des présentes dispositions générales).</w:t>
      </w:r>
    </w:p>
    <w:p w14:paraId="42ED1B0C" w14:textId="6C2AB34C" w:rsidR="00F97290" w:rsidRPr="00FA158B" w:rsidRDefault="0076712A" w:rsidP="009C3752">
      <w:r>
        <w:t>Le GRD</w:t>
      </w:r>
      <w:r w:rsidRPr="00FA158B">
        <w:t xml:space="preserve"> </w:t>
      </w:r>
      <w:r w:rsidR="00F97290" w:rsidRPr="00FA158B">
        <w:t xml:space="preserve">informe le Client et le Fournisseur de l'existence et des corrections apportées à la Courbe de Charge du PDL, selon les modalités décrites à l’article </w:t>
      </w:r>
      <w:r w:rsidR="00983D6B" w:rsidRPr="00FA158B">
        <w:fldChar w:fldCharType="begin"/>
      </w:r>
      <w:r w:rsidR="00983D6B" w:rsidRPr="00FA158B">
        <w:instrText xml:space="preserve"> REF _Ref143072328 \r \h  \* MERGEFORMAT </w:instrText>
      </w:r>
      <w:r w:rsidR="00983D6B" w:rsidRPr="00FA158B">
        <w:fldChar w:fldCharType="separate"/>
      </w:r>
      <w:r w:rsidR="005E7E99">
        <w:t>3.2.2</w:t>
      </w:r>
      <w:r w:rsidR="00983D6B" w:rsidRPr="00FA158B">
        <w:fldChar w:fldCharType="end"/>
      </w:r>
      <w:r w:rsidR="00F97290" w:rsidRPr="00FA158B">
        <w:t>.</w:t>
      </w:r>
    </w:p>
    <w:p w14:paraId="1D337ECB" w14:textId="77777777" w:rsidR="00F97290" w:rsidRPr="00FA158B" w:rsidRDefault="00F97290" w:rsidP="000C0CCD">
      <w:pPr>
        <w:pStyle w:val="Titre3"/>
      </w:pPr>
      <w:bookmarkStart w:id="153" w:name="_Toc21422434"/>
      <w:r w:rsidRPr="00FA158B">
        <w:t>Contestation des données issues du Dispositif de comptage</w:t>
      </w:r>
      <w:bookmarkEnd w:id="153"/>
      <w:r w:rsidRPr="00FA158B">
        <w:t xml:space="preserve"> </w:t>
      </w:r>
    </w:p>
    <w:p w14:paraId="5B93E6A5" w14:textId="77777777" w:rsidR="00F97290" w:rsidRPr="00FA158B" w:rsidRDefault="00F97290" w:rsidP="009C3752">
      <w:r w:rsidRPr="00FA158B">
        <w:t xml:space="preserve">Le Fournisseur ainsi que le Client par l'intermédiaire de son Fournisseur peuvent contester les données de comptage ainsi que les données de comptage corrigées, dans les conditions définies à l’article </w:t>
      </w:r>
      <w:r w:rsidR="00983D6B" w:rsidRPr="00FA158B">
        <w:fldChar w:fldCharType="begin"/>
      </w:r>
      <w:r w:rsidR="00983D6B" w:rsidRPr="00FA158B">
        <w:instrText xml:space="preserve"> REF _Ref165103175 \r \h  \* MERGEFORMAT </w:instrText>
      </w:r>
      <w:r w:rsidR="00983D6B" w:rsidRPr="00FA158B">
        <w:fldChar w:fldCharType="separate"/>
      </w:r>
      <w:r w:rsidR="005E7E99">
        <w:t>9.1.2</w:t>
      </w:r>
      <w:r w:rsidR="00983D6B" w:rsidRPr="00FA158B">
        <w:fldChar w:fldCharType="end"/>
      </w:r>
      <w:r w:rsidRPr="00FA158B">
        <w:t xml:space="preserve"> des présentes dispositions générales.</w:t>
      </w:r>
    </w:p>
    <w:p w14:paraId="54042AEC" w14:textId="77777777" w:rsidR="00F97290" w:rsidRPr="00FA158B" w:rsidRDefault="0004412B" w:rsidP="009C3752">
      <w:pPr>
        <w:pStyle w:val="Titre2"/>
      </w:pPr>
      <w:bookmarkStart w:id="154" w:name="_Toc472522883"/>
      <w:bookmarkStart w:id="155" w:name="_Toc21422435"/>
      <w:r w:rsidRPr="00FA158B">
        <w:t>Accès</w:t>
      </w:r>
      <w:r w:rsidR="00F97290" w:rsidRPr="00FA158B">
        <w:t xml:space="preserve"> aux données de comptage</w:t>
      </w:r>
      <w:bookmarkEnd w:id="154"/>
      <w:bookmarkEnd w:id="155"/>
    </w:p>
    <w:p w14:paraId="3EEF778D" w14:textId="77777777" w:rsidR="00F97290" w:rsidRPr="00FA158B" w:rsidRDefault="00F97290" w:rsidP="009C3752">
      <w:r w:rsidRPr="00FA158B">
        <w:t xml:space="preserve">Conformément à l’article R341-5 du code de l’énergie, le Client a la libre disposition des données relatives à sa consommation enregistrées par le Dispositif de comptage. </w:t>
      </w:r>
      <w:bookmarkStart w:id="156" w:name="_Ref32055457"/>
    </w:p>
    <w:bookmarkEnd w:id="156"/>
    <w:p w14:paraId="03CA3192" w14:textId="202E8404" w:rsidR="00F97290" w:rsidRPr="00FA158B" w:rsidRDefault="00F97290" w:rsidP="009C3752">
      <w:r w:rsidRPr="00FA158B">
        <w:t xml:space="preserve">En conséquence, il peut accéder à l’ensemble des données de comptage, selon les modalités du Catalogue des prestations et des </w:t>
      </w:r>
      <w:r w:rsidR="00FA158B">
        <w:t>R</w:t>
      </w:r>
      <w:r w:rsidRPr="00FA158B">
        <w:t>éférentiels d</w:t>
      </w:r>
      <w:r w:rsidR="00FA158B">
        <w:t>u GRD</w:t>
      </w:r>
      <w:r w:rsidRPr="00FA158B">
        <w:t>.</w:t>
      </w:r>
    </w:p>
    <w:p w14:paraId="7EDC5D3E" w14:textId="338B63FF" w:rsidR="00F97290" w:rsidRPr="00FA158B" w:rsidRDefault="0076712A" w:rsidP="009C3752">
      <w:r>
        <w:t>Le GRD</w:t>
      </w:r>
      <w:r w:rsidR="00F97290" w:rsidRPr="00FA158B">
        <w:t>, afin d'exécuter son obligation de comptage définie à l'article L322-8 du code de l’énergie, accède sans réserve à l’ensemble des informations délivrées par le Dispositif de comptage du Site.</w:t>
      </w:r>
    </w:p>
    <w:p w14:paraId="66F1FDFF" w14:textId="0587FF9D" w:rsidR="00F97290" w:rsidRPr="00FA158B" w:rsidRDefault="00F97290" w:rsidP="009C3752">
      <w:r w:rsidRPr="00FA158B">
        <w:t xml:space="preserve">Pour l’exécution du Contrat Unique, le Client autorise </w:t>
      </w:r>
      <w:r w:rsidR="00FA158B">
        <w:t>le GRD</w:t>
      </w:r>
      <w:r w:rsidR="00FA158B" w:rsidRPr="00FA158B">
        <w:t xml:space="preserve"> </w:t>
      </w:r>
      <w:r w:rsidRPr="00FA158B">
        <w:t>à communiquer ses données de comptage à son Fournisseur. Le Client ne peut remettre en cause cette désignation.</w:t>
      </w:r>
    </w:p>
    <w:p w14:paraId="6CA9FDD2" w14:textId="4B0D7C04" w:rsidR="00F97290" w:rsidRPr="00FA158B" w:rsidRDefault="00F97290" w:rsidP="009C3752">
      <w:r w:rsidRPr="008171E3">
        <w:t xml:space="preserve">Quel que soit le Dispositif de comptage, </w:t>
      </w:r>
      <w:r w:rsidR="00FA158B" w:rsidRPr="008171E3">
        <w:t xml:space="preserve">le GRD </w:t>
      </w:r>
      <w:r w:rsidRPr="008171E3">
        <w:t xml:space="preserve">garantit l’accès du Client à l’historique disponible de ses données de consommation, conformément aux modalités définies par </w:t>
      </w:r>
      <w:r w:rsidR="00FA158B" w:rsidRPr="008171E3">
        <w:t xml:space="preserve">le GRD </w:t>
      </w:r>
      <w:r w:rsidRPr="008171E3">
        <w:t xml:space="preserve">sur son </w:t>
      </w:r>
      <w:r w:rsidR="00FA158B" w:rsidRPr="008171E3">
        <w:t>S</w:t>
      </w:r>
      <w:r w:rsidRPr="008171E3">
        <w:t>ite</w:t>
      </w:r>
      <w:r w:rsidR="00FA158B" w:rsidRPr="008171E3">
        <w:t xml:space="preserve"> interne</w:t>
      </w:r>
      <w:r w:rsidR="004C0B42" w:rsidRPr="008171E3">
        <w:t>t</w:t>
      </w:r>
      <w:r w:rsidR="004C0B42" w:rsidRPr="008171E3">
        <w:rPr>
          <w:color w:val="FF0000"/>
        </w:rPr>
        <w:t xml:space="preserve">. </w:t>
      </w:r>
      <w:r w:rsidRPr="008171E3">
        <w:t xml:space="preserve">Pour ce faire, le Client s’adresse, selon son choix, à un Fournisseur qu’il autorise, à un tiers qu’il autorise, ou directement </w:t>
      </w:r>
      <w:r w:rsidR="00FA158B" w:rsidRPr="008171E3">
        <w:t>au GRD</w:t>
      </w:r>
      <w:r w:rsidRPr="008171E3">
        <w:t>.</w:t>
      </w:r>
    </w:p>
    <w:p w14:paraId="507B477E" w14:textId="77777777" w:rsidR="00F97290" w:rsidRPr="00FA158B" w:rsidRDefault="00F97290" w:rsidP="00DC643C">
      <w:pPr>
        <w:pStyle w:val="Titre1"/>
      </w:pPr>
      <w:bookmarkStart w:id="157" w:name="_Ref54157490"/>
      <w:bookmarkStart w:id="158" w:name="_Toc54698312"/>
      <w:bookmarkStart w:id="159" w:name="_Toc472522884"/>
      <w:bookmarkStart w:id="160" w:name="_Toc21422436"/>
      <w:bookmarkEnd w:id="53"/>
      <w:r w:rsidRPr="00FA158B">
        <w:t>Puissances Souscrites</w:t>
      </w:r>
      <w:bookmarkEnd w:id="157"/>
      <w:bookmarkEnd w:id="158"/>
      <w:bookmarkEnd w:id="159"/>
      <w:bookmarkEnd w:id="160"/>
    </w:p>
    <w:p w14:paraId="24727D53" w14:textId="77777777" w:rsidR="00F97290" w:rsidRPr="00FA158B" w:rsidRDefault="00F97290" w:rsidP="009C3752">
      <w:pPr>
        <w:pStyle w:val="Titre2"/>
      </w:pPr>
      <w:bookmarkStart w:id="161" w:name="_Toc33439700"/>
      <w:bookmarkStart w:id="162" w:name="_Toc33610785"/>
      <w:bookmarkStart w:id="163" w:name="_Toc53227745"/>
      <w:bookmarkStart w:id="164" w:name="_Toc54021249"/>
      <w:bookmarkStart w:id="165" w:name="_Toc54698313"/>
      <w:bookmarkStart w:id="166" w:name="_Toc472522885"/>
      <w:bookmarkStart w:id="167" w:name="_Toc21422437"/>
      <w:r w:rsidRPr="00FA158B">
        <w:t>Choix de la (des) Puissance(s) Souscrite(s</w:t>
      </w:r>
      <w:bookmarkEnd w:id="161"/>
      <w:bookmarkEnd w:id="162"/>
      <w:bookmarkEnd w:id="163"/>
      <w:bookmarkEnd w:id="164"/>
      <w:bookmarkEnd w:id="165"/>
      <w:r w:rsidRPr="00FA158B">
        <w:t>)</w:t>
      </w:r>
      <w:bookmarkEnd w:id="166"/>
      <w:bookmarkEnd w:id="167"/>
    </w:p>
    <w:p w14:paraId="573E96BE" w14:textId="77777777" w:rsidR="00F97290" w:rsidRPr="00FA158B" w:rsidRDefault="00F97290" w:rsidP="000C0CCD">
      <w:pPr>
        <w:pStyle w:val="Titre3"/>
      </w:pPr>
      <w:bookmarkStart w:id="168" w:name="_Toc21422438"/>
      <w:r w:rsidRPr="00FA158B">
        <w:t>Principe général du choix de(s) Puissance(s) Souscrite(s)</w:t>
      </w:r>
      <w:bookmarkEnd w:id="168"/>
    </w:p>
    <w:p w14:paraId="1729DCB4" w14:textId="77777777" w:rsidR="00F97290" w:rsidRPr="00FA158B" w:rsidRDefault="00F97290" w:rsidP="009C3752">
      <w:r w:rsidRPr="00FA158B">
        <w:t>La (les) Puissance(s) Souscrite(s) est (sont) la (les) puissance(s) que le Client prévoit d'appeler en chaque Point de Livraison pendant les douze mois qui suivent la souscription, quel que soit son Fournisseur.</w:t>
      </w:r>
    </w:p>
    <w:p w14:paraId="3C04AB86" w14:textId="5B0E12F1" w:rsidR="00F97290" w:rsidRPr="00FA158B" w:rsidRDefault="00F97290" w:rsidP="009C3752">
      <w:r w:rsidRPr="00FA158B">
        <w:t xml:space="preserve">Après avoir reçu </w:t>
      </w:r>
      <w:r w:rsidR="0076712A">
        <w:t>du GRD</w:t>
      </w:r>
      <w:r w:rsidRPr="00FA158B">
        <w:t xml:space="preserve"> et du Client toutes les informations, le Fournisseur souscrit la(les) puissance(s) pour chaque Point de Livraison compatible(s) avec la Puissance de Raccordement et la Puissance Limite applicables.</w:t>
      </w:r>
    </w:p>
    <w:p w14:paraId="1A350E1F" w14:textId="10362762" w:rsidR="00F97290" w:rsidRPr="00FA158B" w:rsidRDefault="007F0A52" w:rsidP="009C3752">
      <w:r w:rsidRPr="00FA158B">
        <w:t xml:space="preserve">Pour chaque Point de Livraison </w:t>
      </w:r>
      <w:r w:rsidR="005021DD" w:rsidRPr="00FA158B">
        <w:t xml:space="preserve">alimenté en HTA </w:t>
      </w:r>
      <w:r w:rsidRPr="00FA158B">
        <w:t xml:space="preserve">et pour chacune des cinq </w:t>
      </w:r>
      <w:r w:rsidR="00A67B2F">
        <w:t>Plage</w:t>
      </w:r>
      <w:r w:rsidRPr="00FA158B">
        <w:t>s temporelles de l’option tarifaire choisie</w:t>
      </w:r>
      <w:r w:rsidR="005021DD" w:rsidRPr="00FA158B">
        <w:t xml:space="preserve"> par le Fournisseur</w:t>
      </w:r>
      <w:r w:rsidRPr="00FA158B">
        <w:t>, l</w:t>
      </w:r>
      <w:r w:rsidR="00F97290" w:rsidRPr="00FA158B">
        <w:t>e Fournisseur choisit une(des) Puissance(s) Souscrite(s) par multiples de 1 kW.</w:t>
      </w:r>
    </w:p>
    <w:p w14:paraId="006B77F5" w14:textId="1C2DBBAC" w:rsidR="00F97290" w:rsidRPr="00FA158B" w:rsidRDefault="007F0A52" w:rsidP="009C3752">
      <w:r w:rsidRPr="00FA158B">
        <w:t>L</w:t>
      </w:r>
      <w:r w:rsidR="00F97290" w:rsidRPr="00FA158B">
        <w:t xml:space="preserve">a Puissance Souscrite d’une </w:t>
      </w:r>
      <w:r w:rsidR="00046F90">
        <w:t>Plag</w:t>
      </w:r>
      <w:r w:rsidR="00F97290" w:rsidRPr="00FA158B">
        <w:t xml:space="preserve">e Temporelle doit être supérieure ou égale à la Puissance Souscrite de la </w:t>
      </w:r>
      <w:r w:rsidR="00046F90">
        <w:t>Plag</w:t>
      </w:r>
      <w:r w:rsidR="00F97290" w:rsidRPr="00FA158B">
        <w:t>e Temporelle précédente (P</w:t>
      </w:r>
      <w:r w:rsidR="00F97290" w:rsidRPr="00FA158B">
        <w:rPr>
          <w:vertAlign w:val="subscript"/>
        </w:rPr>
        <w:t>i+1</w:t>
      </w:r>
      <w:r w:rsidR="00F97290" w:rsidRPr="00FA158B">
        <w:t xml:space="preserve"> </w:t>
      </w:r>
      <w:r w:rsidR="00F97290" w:rsidRPr="00FA158B">
        <w:sym w:font="Symbol" w:char="F0B3"/>
      </w:r>
      <w:r w:rsidR="00F97290" w:rsidRPr="00FA158B">
        <w:t xml:space="preserve"> P</w:t>
      </w:r>
      <w:r w:rsidR="00F97290" w:rsidRPr="00FA158B">
        <w:rPr>
          <w:vertAlign w:val="subscript"/>
        </w:rPr>
        <w:t>i</w:t>
      </w:r>
      <w:r w:rsidR="00F97290" w:rsidRPr="00FA158B">
        <w:t xml:space="preserve"> avec i désignant la </w:t>
      </w:r>
      <w:r w:rsidR="00046F90">
        <w:t>Plag</w:t>
      </w:r>
      <w:r w:rsidR="00F97290" w:rsidRPr="00FA158B">
        <w:t>e Temporelle), conformément au TURPE.</w:t>
      </w:r>
    </w:p>
    <w:p w14:paraId="35E5AA6D" w14:textId="21857FF7" w:rsidR="008C66F0" w:rsidRPr="00FA158B" w:rsidRDefault="00F97290">
      <w:r w:rsidRPr="00FA158B">
        <w:t>Dans le cas d’un changement de Fournisseur ou de passage d’un contrat CARD en Contrat Unique</w:t>
      </w:r>
      <w:r w:rsidR="00791F3F" w:rsidRPr="00FA158B">
        <w:t>,</w:t>
      </w:r>
      <w:r w:rsidRPr="00FA158B">
        <w:t xml:space="preserve"> le Fournisseur bénéficie, pour le mois précédent la date d’effet de la souscription de puissance, d’un abattement égal à 6 fois le pourcentage d’augmentation de la Puissance Souscrite </w:t>
      </w:r>
      <w:r w:rsidR="00340999">
        <w:t>Pondérée</w:t>
      </w:r>
      <w:r w:rsidR="00C25D3E" w:rsidRPr="00FA158B">
        <w:t xml:space="preserve"> calculée conformément au TURPE en vigueur</w:t>
      </w:r>
      <w:r w:rsidRPr="00FA158B">
        <w:t>, du montant facturé au titre des dépassements de puissance pendant le mois susvisé. Cet abattement est plafonné à 50% du montant facturé au titre des dépassements du mois précédent.</w:t>
      </w:r>
    </w:p>
    <w:p w14:paraId="46C7E8D2" w14:textId="77777777" w:rsidR="00F97290" w:rsidRPr="00FA158B" w:rsidRDefault="00F97290" w:rsidP="000C0CCD">
      <w:pPr>
        <w:pStyle w:val="Titre3"/>
      </w:pPr>
      <w:bookmarkStart w:id="169" w:name="_Ref51476043"/>
      <w:bookmarkStart w:id="170" w:name="_Toc21422439"/>
      <w:r w:rsidRPr="00FA158B">
        <w:lastRenderedPageBreak/>
        <w:t>Ouverture d’une période d’observation</w:t>
      </w:r>
      <w:bookmarkEnd w:id="169"/>
      <w:r w:rsidRPr="00FA158B">
        <w:t xml:space="preserve"> lors de la souscription du Contrat Unique</w:t>
      </w:r>
      <w:bookmarkEnd w:id="170"/>
    </w:p>
    <w:p w14:paraId="7E3BA1B1" w14:textId="198AEF57" w:rsidR="00F97290" w:rsidRPr="00FA158B" w:rsidRDefault="00F97290" w:rsidP="009C3752">
      <w:r w:rsidRPr="00FA158B">
        <w:t xml:space="preserve">Si lors de la signature du Contrat Unique, le Fournisseur considère ne pas être en possession de tous les éléments lui permettant de choisir la(les) Puissance(s) Souscrite(s), il peut demander </w:t>
      </w:r>
      <w:r w:rsidR="0076712A">
        <w:t>au GRD</w:t>
      </w:r>
      <w:r w:rsidRPr="00FA158B">
        <w:t xml:space="preserve">, sous réserve du respect des dispositions du </w:t>
      </w:r>
      <w:r w:rsidR="00A94769" w:rsidRPr="00FA158B">
        <w:t>c</w:t>
      </w:r>
      <w:r w:rsidRPr="00FA158B">
        <w:t xml:space="preserve">hapitre </w:t>
      </w:r>
      <w:r w:rsidR="00983D6B" w:rsidRPr="00FA158B">
        <w:fldChar w:fldCharType="begin"/>
      </w:r>
      <w:r w:rsidR="00983D6B" w:rsidRPr="00FA158B">
        <w:instrText xml:space="preserve"> REF _Ref151458985 \r \h  \* MERGEFORMAT </w:instrText>
      </w:r>
      <w:r w:rsidR="00983D6B" w:rsidRPr="00FA158B">
        <w:fldChar w:fldCharType="separate"/>
      </w:r>
      <w:r w:rsidR="005E7E99">
        <w:t>2</w:t>
      </w:r>
      <w:r w:rsidR="00983D6B" w:rsidRPr="00FA158B">
        <w:fldChar w:fldCharType="end"/>
      </w:r>
      <w:r w:rsidRPr="00FA158B">
        <w:t xml:space="preserve">  « Raccordement » des présentes dispositions générales, l’ouverture d’une période d’observation, dont la durée est fixée en nombre entier de mois, et est inférieure ou égale à un</w:t>
      </w:r>
      <w:r w:rsidR="00A94769" w:rsidRPr="00FA158B">
        <w:t xml:space="preserve"> </w:t>
      </w:r>
      <w:r w:rsidRPr="00FA158B">
        <w:t xml:space="preserve">(1) an. La durée choisie par le Fournisseur est précisée dans le Contrat Unique concerné. A défaut d'une dénonciation de la période d'observation dans les conditions de l'article </w:t>
      </w:r>
      <w:r w:rsidR="00983D6B" w:rsidRPr="00FA158B">
        <w:fldChar w:fldCharType="begin"/>
      </w:r>
      <w:r w:rsidR="00983D6B" w:rsidRPr="00FA158B">
        <w:instrText xml:space="preserve"> REF _Ref165107934 \r \h  \* MERGEFORMAT </w:instrText>
      </w:r>
      <w:r w:rsidR="00983D6B" w:rsidRPr="00FA158B">
        <w:fldChar w:fldCharType="separate"/>
      </w:r>
      <w:r w:rsidR="005E7E99">
        <w:t>4.1.3</w:t>
      </w:r>
      <w:r w:rsidR="00983D6B" w:rsidRPr="00FA158B">
        <w:fldChar w:fldCharType="end"/>
      </w:r>
      <w:r w:rsidRPr="00FA158B">
        <w:t xml:space="preserve"> ladite période d'observation est prolongée de mois en mois dans la limite d’un (1) an à compter de la date d’ouverture de ladite période d’observation.</w:t>
      </w:r>
    </w:p>
    <w:p w14:paraId="50B70899" w14:textId="370EA6A8" w:rsidR="008C66F0" w:rsidRPr="00FA158B" w:rsidRDefault="00F97290">
      <w:r w:rsidRPr="00FA158B">
        <w:t xml:space="preserve">Pendant cette période d’observation, la puissance réputée souscrite pendant chaque </w:t>
      </w:r>
      <w:r w:rsidR="00046F90">
        <w:t>Plag</w:t>
      </w:r>
      <w:r w:rsidRPr="00FA158B">
        <w:t xml:space="preserve">e Temporelle utilisée par </w:t>
      </w:r>
      <w:r w:rsidR="0076712A">
        <w:t>le GRD</w:t>
      </w:r>
      <w:r w:rsidRPr="00FA158B">
        <w:t xml:space="preserve"> pour la facturation pour le mois M est égale</w:t>
      </w:r>
      <w:r w:rsidR="00E838CC" w:rsidRPr="00FA158B">
        <w:t> :</w:t>
      </w:r>
    </w:p>
    <w:p w14:paraId="18D1B4D2" w14:textId="77777777" w:rsidR="00274BED" w:rsidRPr="00FA158B" w:rsidRDefault="00F97290">
      <w:pPr>
        <w:pStyle w:val="SPuce"/>
      </w:pPr>
      <w:proofErr w:type="gramStart"/>
      <w:r w:rsidRPr="00FA158B">
        <w:t>à</w:t>
      </w:r>
      <w:proofErr w:type="gramEnd"/>
      <w:r w:rsidRPr="00FA158B">
        <w:t xml:space="preserve"> la plus forte puissance atteinte pendant ce mois ;</w:t>
      </w:r>
    </w:p>
    <w:p w14:paraId="40128A98" w14:textId="481C3FD1" w:rsidR="00274BED" w:rsidRPr="00FA158B" w:rsidRDefault="00F97290">
      <w:pPr>
        <w:pStyle w:val="SPuce"/>
      </w:pPr>
      <w:proofErr w:type="gramStart"/>
      <w:r w:rsidRPr="00FA158B">
        <w:t>ou</w:t>
      </w:r>
      <w:proofErr w:type="gramEnd"/>
      <w:r w:rsidRPr="00FA158B">
        <w:t xml:space="preserve"> à la puissance réputée souscrite pour le mois M-1 </w:t>
      </w:r>
      <w:r w:rsidR="003833DB" w:rsidRPr="00FA158B">
        <w:t xml:space="preserve">(dans le cas d’un changement de Fournisseur ou de passage d’un CARD en Contrat Unique) </w:t>
      </w:r>
      <w:r w:rsidRPr="00FA158B">
        <w:t>si la puissance mentionnée ci</w:t>
      </w:r>
      <w:r w:rsidR="00531988">
        <w:t>-</w:t>
      </w:r>
      <w:r w:rsidRPr="00FA158B">
        <w:t>dessus lui est inférieure.</w:t>
      </w:r>
    </w:p>
    <w:p w14:paraId="225BCCCD" w14:textId="77777777" w:rsidR="00F97290" w:rsidRPr="00FA158B" w:rsidRDefault="00F97290" w:rsidP="000C0CCD">
      <w:pPr>
        <w:pStyle w:val="Titre3"/>
      </w:pPr>
      <w:bookmarkStart w:id="171" w:name="_Ref165107934"/>
      <w:bookmarkStart w:id="172" w:name="_Toc21422440"/>
      <w:r w:rsidRPr="00FA158B">
        <w:t>Clôture de la période d’observation</w:t>
      </w:r>
      <w:bookmarkEnd w:id="171"/>
      <w:bookmarkEnd w:id="172"/>
    </w:p>
    <w:p w14:paraId="36CC974F" w14:textId="7EC91C06" w:rsidR="00F97290" w:rsidRPr="00FA158B" w:rsidRDefault="00F97290" w:rsidP="009C3752">
      <w:r w:rsidRPr="00FA158B">
        <w:t xml:space="preserve">Au plus tard quinze jours calendaires avant la date de fin de la période d’observation, le Fournisseur adresse </w:t>
      </w:r>
      <w:r w:rsidR="0076712A">
        <w:t>au GRD</w:t>
      </w:r>
      <w:r w:rsidRPr="00FA158B">
        <w:t xml:space="preserve">, par formulaire sur la Plate-forme d'échange, la(les) puissance(s) qu’il souhaite souscrire à l’issue de la période d’observation. </w:t>
      </w:r>
    </w:p>
    <w:p w14:paraId="61D58C70" w14:textId="04450FFD" w:rsidR="00F97290" w:rsidRPr="00FA158B" w:rsidRDefault="00F97290" w:rsidP="009C3752">
      <w:r w:rsidRPr="00FA158B">
        <w:t xml:space="preserve">Cette(ces) puissance(s) souscrite(s) ne peut(peuvent) pas être inférieure(s) à la plus petite des </w:t>
      </w:r>
      <w:r w:rsidR="00C62E74" w:rsidRPr="00FA158B">
        <w:t xml:space="preserve">plus fortes </w:t>
      </w:r>
      <w:r w:rsidRPr="00FA158B">
        <w:t>puissances atteintes pendant chacun des mois de la période d’observation.</w:t>
      </w:r>
    </w:p>
    <w:p w14:paraId="58797D40" w14:textId="68830F7C" w:rsidR="00F97290" w:rsidRPr="00FA158B" w:rsidRDefault="00F97290" w:rsidP="009C3752">
      <w:r w:rsidRPr="00FA158B">
        <w:t xml:space="preserve">A défaut de choix exprimé par le Fournisseur dans le délai d’un (1) an à compter de la date d’ouverture de la période d’observation, la(les) Puissance(s) Souscrite(s) à l’issue de la période d’observation est(sont) égale(s) à la(aux) puissance(s) réputée(s) souscrite(s) utilisée(s) par </w:t>
      </w:r>
      <w:r w:rsidR="0076712A">
        <w:t>le GRD</w:t>
      </w:r>
      <w:r w:rsidRPr="00FA158B">
        <w:t xml:space="preserve"> pour calculer la facture du dernier mois de la période d’observation.</w:t>
      </w:r>
    </w:p>
    <w:p w14:paraId="47C6F4EA" w14:textId="77777777" w:rsidR="00F97290" w:rsidRPr="00FA158B" w:rsidRDefault="00F97290" w:rsidP="009C3752">
      <w:r w:rsidRPr="00FA158B">
        <w:t>La(les) Puissance(s) Souscrite(s) à l’issue de la période d’observation prend(prennent) effet le premier jour du mois qui suit la date de fin de la période d’observation, sauf si la Puissance Souscrite ou l’une quelconque des Puissances Souscrites dépasse la capacité des ouvrages existants. Dans ce cas, la date d’effet de la modification de puissance prend en considération la durée d’exécution des travaux nécessaires.</w:t>
      </w:r>
    </w:p>
    <w:p w14:paraId="36AE87BB" w14:textId="77777777" w:rsidR="00F97290" w:rsidRPr="00FA158B" w:rsidRDefault="00F97290" w:rsidP="009C3752">
      <w:r w:rsidRPr="00FA158B">
        <w:t>La (les) Puissance(s) Souscrite(s) à l’issue de la période d’observation est (sont) la (les) puissance(s) que le Client prévoit d'appeler pendant les douze mois qui suivent sa souscription.</w:t>
      </w:r>
    </w:p>
    <w:p w14:paraId="6099D8CA" w14:textId="77777777" w:rsidR="00F97290" w:rsidRPr="00FA158B" w:rsidRDefault="00F97290" w:rsidP="000C0CCD">
      <w:pPr>
        <w:pStyle w:val="Titre3"/>
      </w:pPr>
      <w:bookmarkStart w:id="173" w:name="_Ref417390955"/>
      <w:bookmarkStart w:id="174" w:name="_Toc21422441"/>
      <w:r w:rsidRPr="00FA158B">
        <w:t>Cas particulier du regroupement conventionnel</w:t>
      </w:r>
      <w:bookmarkEnd w:id="173"/>
      <w:bookmarkEnd w:id="174"/>
    </w:p>
    <w:p w14:paraId="091E9EA5" w14:textId="77777777" w:rsidR="00F97290" w:rsidRPr="00FA158B" w:rsidRDefault="00F97290" w:rsidP="009C3752">
      <w:r w:rsidRPr="00FA158B">
        <w:t xml:space="preserve">Les conditions du regroupement conventionnel prévu par le TURPE sont précisées à l’article </w:t>
      </w:r>
      <w:r w:rsidR="00983D6B" w:rsidRPr="00FA158B">
        <w:fldChar w:fldCharType="begin"/>
      </w:r>
      <w:r w:rsidR="00983D6B" w:rsidRPr="00FA158B">
        <w:instrText xml:space="preserve"> REF _Ref143071729 \r \h  \* MERGEFORMAT </w:instrText>
      </w:r>
      <w:r w:rsidR="00983D6B" w:rsidRPr="00FA158B">
        <w:fldChar w:fldCharType="separate"/>
      </w:r>
      <w:r w:rsidR="005E7E99">
        <w:t>7</w:t>
      </w:r>
      <w:r w:rsidR="00983D6B" w:rsidRPr="00FA158B">
        <w:fldChar w:fldCharType="end"/>
      </w:r>
      <w:r w:rsidRPr="00FA158B">
        <w:t>.</w:t>
      </w:r>
    </w:p>
    <w:p w14:paraId="76B8CA93" w14:textId="77777777" w:rsidR="00F97290" w:rsidRPr="00FA158B" w:rsidRDefault="00F97290" w:rsidP="009C3752">
      <w:r w:rsidRPr="00FA158B">
        <w:t xml:space="preserve">La puissance maximale appelée par Point de Livraison est la puissance qui serait souscrite à titre individuel pour le Point de Livraison en cause, s’il n’était pas regroupé avec d’autres. </w:t>
      </w:r>
    </w:p>
    <w:p w14:paraId="2A4050CE" w14:textId="06F5F931" w:rsidR="00F97290" w:rsidRPr="00FA158B" w:rsidRDefault="00F97290" w:rsidP="009C3752">
      <w:r w:rsidRPr="00FA158B">
        <w:t xml:space="preserve">Afin de garantir la sécurité du RPD, </w:t>
      </w:r>
      <w:r w:rsidR="0076712A">
        <w:t>le GRD</w:t>
      </w:r>
      <w:r w:rsidRPr="00FA158B">
        <w:t xml:space="preserve"> vérifie pour chaque Point de Livraison que cette puissance maximale ne dépasse pas les capacités du Réseau électrique public qui les alimente. </w:t>
      </w:r>
    </w:p>
    <w:p w14:paraId="0068BBCB" w14:textId="25658AEB" w:rsidR="00F97290" w:rsidRPr="00FA158B" w:rsidRDefault="00F97290" w:rsidP="009C3752">
      <w:r w:rsidRPr="00FA158B">
        <w:t xml:space="preserve">Si pour un(des) Point(s) de Livraison l’octroi ou la modification de cette puissance nécessite l’exécution de travaux sur le Réseau, ils sont réalisés par </w:t>
      </w:r>
      <w:r w:rsidR="0076712A">
        <w:t>le GRD</w:t>
      </w:r>
      <w:r w:rsidRPr="00FA158B">
        <w:t xml:space="preserve">. Chaque Partie prend à sa charge le montant des travaux lui incombant, conformément à l’application des dispositions légales et réglementaires en vigueur au moment de la demande et conformément aux modalités de l’article </w:t>
      </w:r>
      <w:r w:rsidR="00320193" w:rsidRPr="00FA158B">
        <w:fldChar w:fldCharType="begin"/>
      </w:r>
      <w:r w:rsidR="00F84F73" w:rsidRPr="00FA158B">
        <w:instrText xml:space="preserve"> REF _Ref32055106 \r \h </w:instrText>
      </w:r>
      <w:r w:rsidR="00FA158B">
        <w:instrText xml:space="preserve"> \* MERGEFORMAT </w:instrText>
      </w:r>
      <w:r w:rsidR="00320193" w:rsidRPr="00FA158B">
        <w:fldChar w:fldCharType="separate"/>
      </w:r>
      <w:r w:rsidR="005E7E99">
        <w:t>2.2.1</w:t>
      </w:r>
      <w:r w:rsidR="00320193" w:rsidRPr="00FA158B">
        <w:fldChar w:fldCharType="end"/>
      </w:r>
      <w:r w:rsidRPr="00FA158B">
        <w:t xml:space="preserve">. </w:t>
      </w:r>
    </w:p>
    <w:p w14:paraId="4CF8FCC3" w14:textId="438F231A" w:rsidR="00F97290" w:rsidRPr="00FA158B" w:rsidRDefault="00F97290" w:rsidP="009C3752">
      <w:r w:rsidRPr="00FA158B">
        <w:t xml:space="preserve">L’article </w:t>
      </w:r>
      <w:r w:rsidR="00983D6B" w:rsidRPr="00FA158B">
        <w:fldChar w:fldCharType="begin"/>
      </w:r>
      <w:r w:rsidR="00983D6B" w:rsidRPr="00FA158B">
        <w:instrText xml:space="preserve"> REF _Ref472522309 \r \h  \* MERGEFORMAT </w:instrText>
      </w:r>
      <w:r w:rsidR="00983D6B" w:rsidRPr="00FA158B">
        <w:fldChar w:fldCharType="separate"/>
      </w:r>
      <w:r w:rsidR="005E7E99">
        <w:t>9.3.2</w:t>
      </w:r>
      <w:r w:rsidR="00983D6B" w:rsidRPr="00FA158B">
        <w:fldChar w:fldCharType="end"/>
      </w:r>
      <w:r w:rsidRPr="00FA158B">
        <w:t xml:space="preserve"> s’applique aux dommages susceptibles d’être causés </w:t>
      </w:r>
      <w:r w:rsidR="0076712A">
        <w:t>au GRD</w:t>
      </w:r>
      <w:r w:rsidRPr="00FA158B">
        <w:t xml:space="preserve"> en cas de dépassement des puissances maximales appelées sur chaque Point de Livraison.</w:t>
      </w:r>
    </w:p>
    <w:p w14:paraId="0705B084" w14:textId="77777777" w:rsidR="00F97290" w:rsidRPr="00FA158B" w:rsidRDefault="00F97290" w:rsidP="009C3752">
      <w:pPr>
        <w:pStyle w:val="Titre2"/>
      </w:pPr>
      <w:bookmarkStart w:id="175" w:name="_Toc472522886"/>
      <w:bookmarkStart w:id="176" w:name="_Toc21422442"/>
      <w:r w:rsidRPr="00FA158B">
        <w:t>Contrôle de la(des) Puissance(s) Souscrite(s)</w:t>
      </w:r>
      <w:bookmarkEnd w:id="175"/>
      <w:bookmarkEnd w:id="176"/>
    </w:p>
    <w:p w14:paraId="00517A7E" w14:textId="65426C18" w:rsidR="00F97290" w:rsidRPr="00FA158B" w:rsidRDefault="00F97290" w:rsidP="009C3752">
      <w:r w:rsidRPr="00FA158B">
        <w:t xml:space="preserve">Selon le type de Dispositif de comptage installé sur le Site, la Puissance Souscrite dans chaque </w:t>
      </w:r>
      <w:r w:rsidR="00046F90">
        <w:t>Plag</w:t>
      </w:r>
      <w:r w:rsidRPr="00FA158B">
        <w:t>e Temporelle peut être contrôlée par un Compteur Communicant, un Compteur électronique ou par un Compteur électromécanique équipé d’un contrôleur externe.</w:t>
      </w:r>
    </w:p>
    <w:p w14:paraId="50D4F2A3" w14:textId="77777777" w:rsidR="00F97290" w:rsidRPr="00FA158B" w:rsidRDefault="00F97290" w:rsidP="009C3752">
      <w:pPr>
        <w:pStyle w:val="Titre2"/>
      </w:pPr>
      <w:bookmarkStart w:id="177" w:name="_Toc33439701"/>
      <w:bookmarkStart w:id="178" w:name="_Toc33610786"/>
      <w:bookmarkStart w:id="179" w:name="_Ref143660094"/>
      <w:bookmarkStart w:id="180" w:name="_Ref165111135"/>
      <w:bookmarkStart w:id="181" w:name="_Toc472522887"/>
      <w:bookmarkStart w:id="182" w:name="_Toc21422443"/>
      <w:bookmarkStart w:id="183" w:name="_Toc53227746"/>
      <w:bookmarkStart w:id="184" w:name="_Toc54021250"/>
      <w:bookmarkStart w:id="185" w:name="_Toc54698314"/>
      <w:bookmarkStart w:id="186" w:name="_Ref57801041"/>
      <w:r w:rsidRPr="00FA158B">
        <w:lastRenderedPageBreak/>
        <w:t xml:space="preserve">Dépassements de </w:t>
      </w:r>
      <w:r w:rsidR="00223858" w:rsidRPr="00FA158B">
        <w:t>P</w:t>
      </w:r>
      <w:r w:rsidRPr="00FA158B">
        <w:t xml:space="preserve">uissance(s) </w:t>
      </w:r>
      <w:r w:rsidR="00223858" w:rsidRPr="00FA158B">
        <w:t>S</w:t>
      </w:r>
      <w:r w:rsidRPr="00FA158B">
        <w:t>ouscrite(s)</w:t>
      </w:r>
      <w:bookmarkEnd w:id="177"/>
      <w:bookmarkEnd w:id="178"/>
      <w:bookmarkEnd w:id="179"/>
      <w:bookmarkEnd w:id="180"/>
      <w:bookmarkEnd w:id="181"/>
      <w:bookmarkEnd w:id="182"/>
      <w:r w:rsidRPr="00FA158B">
        <w:t xml:space="preserve"> </w:t>
      </w:r>
      <w:bookmarkEnd w:id="183"/>
      <w:bookmarkEnd w:id="184"/>
      <w:bookmarkEnd w:id="185"/>
      <w:bookmarkEnd w:id="186"/>
    </w:p>
    <w:p w14:paraId="146D4045" w14:textId="4039B1C8" w:rsidR="00F97290" w:rsidRPr="00FA158B" w:rsidRDefault="00F97290" w:rsidP="009C3752">
      <w:bookmarkStart w:id="187" w:name="_Toc33439703"/>
      <w:bookmarkStart w:id="188" w:name="_Toc33610788"/>
      <w:r w:rsidRPr="00FA158B">
        <w:t xml:space="preserve">Le Client doit en principe limiter la puissance appelée par les installations de son Site à la (aux) Puissance(s) Souscrite(s) au titre de l’utilisation des Réseaux. Cependant, si la puissance disponible sur le Réseau Public de Distribution le permet, la puissance appelée par les installations du Site peut dépasser la (les) Puissance(s) Souscrite(s) au titre de l’utilisation des Réseaux. Ce dépassement est facturé par </w:t>
      </w:r>
      <w:r w:rsidR="00FA158B">
        <w:t>le GRD</w:t>
      </w:r>
      <w:r w:rsidR="00FA158B" w:rsidRPr="00FA158B">
        <w:t xml:space="preserve"> </w:t>
      </w:r>
      <w:r w:rsidRPr="00FA158B">
        <w:t>au Fournisseur dans les conditions décrites dans le TURPE.</w:t>
      </w:r>
    </w:p>
    <w:p w14:paraId="3E474BE4" w14:textId="495BD51D" w:rsidR="00F97290" w:rsidRPr="00FA158B" w:rsidRDefault="00F97290" w:rsidP="009C3752">
      <w:r w:rsidRPr="00FA158B">
        <w:t xml:space="preserve">Pour garantir la sécurité du Réseau Public de Distribution, </w:t>
      </w:r>
      <w:r w:rsidR="00FA158B">
        <w:t>le GRD</w:t>
      </w:r>
      <w:r w:rsidR="00FA158B" w:rsidRPr="00FA158B">
        <w:t xml:space="preserve"> </w:t>
      </w:r>
      <w:r w:rsidRPr="00FA158B">
        <w:t xml:space="preserve">n’est pas tenu de faire face à ces dépassements et peut prendre, aux frais du Fournisseur, sous réserve de l’avoir préalablement informé par courriel, toutes dispositions qui auraient pour effet d’empêcher la réalisation et le renouvellement de ceux-ci. En particulier, </w:t>
      </w:r>
      <w:r w:rsidR="00FA158B">
        <w:t>le GRD</w:t>
      </w:r>
      <w:r w:rsidR="00FA158B" w:rsidRPr="00FA158B">
        <w:t xml:space="preserve"> </w:t>
      </w:r>
      <w:r w:rsidRPr="00FA158B">
        <w:t xml:space="preserve">peut imposer qu’un disjoncteur, placé dans le poste du Client, soit réglé de manière à déclencher pour une puissance active instantanée excédant de 10% la Puissance Souscrite pour l’Alimentation Principale et, le cas échéant, pour l’Alimentation de Secours. En cas de refus par le Client qu'il soit procédé à une telle installation, les dispositions de l'article </w:t>
      </w:r>
      <w:r w:rsidR="00983D6B" w:rsidRPr="00FA158B">
        <w:fldChar w:fldCharType="begin"/>
      </w:r>
      <w:r w:rsidR="00983D6B" w:rsidRPr="00FA158B">
        <w:instrText xml:space="preserve"> REF _Ref139705907 \r \h  \* MERGEFORMAT </w:instrText>
      </w:r>
      <w:r w:rsidR="00983D6B" w:rsidRPr="00FA158B">
        <w:fldChar w:fldCharType="separate"/>
      </w:r>
      <w:r w:rsidR="005E7E99">
        <w:t>10.3</w:t>
      </w:r>
      <w:r w:rsidR="00983D6B" w:rsidRPr="00FA158B">
        <w:fldChar w:fldCharType="end"/>
      </w:r>
      <w:r w:rsidRPr="00FA158B">
        <w:t xml:space="preserve"> s'appliquent.</w:t>
      </w:r>
    </w:p>
    <w:p w14:paraId="503745D7" w14:textId="77777777" w:rsidR="00F97290" w:rsidRPr="00FA158B" w:rsidRDefault="00F97290" w:rsidP="009C3752">
      <w:pPr>
        <w:pStyle w:val="Titre2"/>
      </w:pPr>
      <w:bookmarkStart w:id="189" w:name="_Toc472522888"/>
      <w:bookmarkStart w:id="190" w:name="_Toc21422444"/>
      <w:bookmarkStart w:id="191" w:name="_Toc53227747"/>
      <w:bookmarkStart w:id="192" w:name="_Toc54698380"/>
      <w:bookmarkEnd w:id="187"/>
      <w:bookmarkEnd w:id="188"/>
      <w:r w:rsidRPr="00FA158B">
        <w:t>Modification de la (des) Puissance(s) Souscrite(s)</w:t>
      </w:r>
      <w:bookmarkEnd w:id="189"/>
      <w:bookmarkEnd w:id="190"/>
      <w:r w:rsidRPr="00FA158B">
        <w:t xml:space="preserve"> </w:t>
      </w:r>
      <w:bookmarkEnd w:id="191"/>
      <w:bookmarkEnd w:id="192"/>
    </w:p>
    <w:p w14:paraId="737F250A" w14:textId="77777777" w:rsidR="00F97290" w:rsidRPr="00FA158B" w:rsidRDefault="00F97290" w:rsidP="009C3752">
      <w:r w:rsidRPr="00FA158B">
        <w:t>Lors de l'exécution du Contrat Unique, le Fournisseur peut demander la modification de la (les) Puissance(s) Souscrite(s) au titre de l’utilisation des Réseaux dans les conditions exposées ci-dessous.</w:t>
      </w:r>
    </w:p>
    <w:p w14:paraId="6FBCEBF6" w14:textId="77777777" w:rsidR="00F97290" w:rsidRPr="00FA158B" w:rsidRDefault="00F97290" w:rsidP="009C3752">
      <w:r w:rsidRPr="00FA158B">
        <w:t>Toute modification de puissance prenant effet dans un délai de douze mois précédant la fin de la période de référence de la (des) Puissance(s) Souscrite(s) liées au Contrat Unique concerné proroge cette</w:t>
      </w:r>
      <w:r w:rsidR="00B963B3" w:rsidRPr="00FA158B">
        <w:t xml:space="preserve"> </w:t>
      </w:r>
      <w:r w:rsidRPr="00FA158B">
        <w:t>(ces) puissance(s) d'un nombre de mois tel que la nouvelle souscription de puissance porte sur douze mois.</w:t>
      </w:r>
    </w:p>
    <w:p w14:paraId="3DB53BF8" w14:textId="630B95B2" w:rsidR="00F97290" w:rsidRPr="00FA158B" w:rsidRDefault="00F97290" w:rsidP="009C3752">
      <w:r w:rsidRPr="00FA158B">
        <w:t xml:space="preserve">Dans le cas d’ouverture d’une période d’observation, la date de prise d’effet de l’avis de modification de(s) Puissance(s) Souscrite(s) visée à l’alinéa précédent, est </w:t>
      </w:r>
      <w:r w:rsidR="00B361DD">
        <w:t xml:space="preserve">le premier jour du mois qui suit la date de fin </w:t>
      </w:r>
      <w:r w:rsidRPr="00FA158B">
        <w:t>de la période d’observation.</w:t>
      </w:r>
    </w:p>
    <w:p w14:paraId="6CCA7FD1" w14:textId="4E7AB78A" w:rsidR="00F97290" w:rsidRPr="00FA158B" w:rsidRDefault="00F97290" w:rsidP="009C3752">
      <w:r w:rsidRPr="00FA158B">
        <w:t>Les prestations nécessaires à la modification de la</w:t>
      </w:r>
      <w:r w:rsidR="00B963B3" w:rsidRPr="00FA158B">
        <w:t xml:space="preserve"> </w:t>
      </w:r>
      <w:r w:rsidRPr="00FA158B">
        <w:t xml:space="preserve">(des) Puissance(s) Souscrite(s) sont réalisées et facturées au Fournisseur conformément au Catalogue des prestations </w:t>
      </w:r>
      <w:r w:rsidR="00FA158B">
        <w:t>du GRD</w:t>
      </w:r>
      <w:r w:rsidRPr="00FA158B">
        <w:t>.</w:t>
      </w:r>
    </w:p>
    <w:p w14:paraId="2F967641" w14:textId="77777777" w:rsidR="00F97290" w:rsidRPr="00FA158B" w:rsidRDefault="00F97290" w:rsidP="000C0CCD">
      <w:pPr>
        <w:pStyle w:val="Titre3"/>
      </w:pPr>
      <w:bookmarkStart w:id="193" w:name="_Toc21422445"/>
      <w:r w:rsidRPr="00FA158B">
        <w:t>Ouverture d’une période d’observation en cours d’exécution du Contrat Unique</w:t>
      </w:r>
      <w:bookmarkEnd w:id="193"/>
    </w:p>
    <w:p w14:paraId="3A4362DF" w14:textId="77777777" w:rsidR="00F97290" w:rsidRPr="00FA158B" w:rsidRDefault="00F97290" w:rsidP="000C0CCD">
      <w:pPr>
        <w:pStyle w:val="Titre4"/>
      </w:pPr>
      <w:r w:rsidRPr="00FA158B">
        <w:t>Ouverture de la période d’observation</w:t>
      </w:r>
    </w:p>
    <w:p w14:paraId="4634D4E3" w14:textId="54DFF5DC" w:rsidR="00F97290" w:rsidRPr="00FA158B" w:rsidRDefault="00F97290" w:rsidP="009C3752">
      <w:proofErr w:type="gramStart"/>
      <w:r w:rsidRPr="00FA158B">
        <w:t>Si  le</w:t>
      </w:r>
      <w:proofErr w:type="gramEnd"/>
      <w:r w:rsidRPr="00FA158B">
        <w:t xml:space="preserve"> Fournisseur considère ne pas avoir tous les éléments lui permettant de choisir une puissance adéquate aux nouveaux besoins du Client, le Fournisseur peut demander </w:t>
      </w:r>
      <w:r w:rsidR="0076712A">
        <w:t>au GRD</w:t>
      </w:r>
      <w:r w:rsidRPr="00FA158B">
        <w:t xml:space="preserve"> l’ouverture d’une période d’observation sous réserve :</w:t>
      </w:r>
    </w:p>
    <w:p w14:paraId="73D7D411" w14:textId="77777777" w:rsidR="00F97290" w:rsidRPr="00FA158B" w:rsidRDefault="00F97290" w:rsidP="0005723B">
      <w:pPr>
        <w:pStyle w:val="SPuce"/>
      </w:pPr>
      <w:proofErr w:type="gramStart"/>
      <w:r w:rsidRPr="00FA158B">
        <w:t>d’attendre</w:t>
      </w:r>
      <w:proofErr w:type="gramEnd"/>
      <w:r w:rsidRPr="00FA158B">
        <w:t xml:space="preserve"> qu’un (1) an soit écoulé depuis la clôture de la dernière période d’observation ;</w:t>
      </w:r>
    </w:p>
    <w:p w14:paraId="39EF7495" w14:textId="77777777" w:rsidR="00F97290" w:rsidRPr="00FA158B" w:rsidRDefault="00F97290" w:rsidP="0005723B">
      <w:pPr>
        <w:pStyle w:val="SPuce"/>
      </w:pPr>
      <w:proofErr w:type="gramStart"/>
      <w:r w:rsidRPr="00FA158B">
        <w:t>du</w:t>
      </w:r>
      <w:proofErr w:type="gramEnd"/>
      <w:r w:rsidRPr="00FA158B">
        <w:t xml:space="preserve"> respect des dispositions d</w:t>
      </w:r>
      <w:r w:rsidR="00A94769" w:rsidRPr="00FA158B">
        <w:t>u c</w:t>
      </w:r>
      <w:r w:rsidRPr="00FA158B">
        <w:t>hapitre 2 des présentes dispositions générales ;</w:t>
      </w:r>
    </w:p>
    <w:p w14:paraId="32583AE4" w14:textId="77777777" w:rsidR="00F97290" w:rsidRPr="00FA158B" w:rsidRDefault="00F97290" w:rsidP="0005723B">
      <w:pPr>
        <w:pStyle w:val="SPuce"/>
      </w:pPr>
      <w:proofErr w:type="gramStart"/>
      <w:r w:rsidRPr="00FA158B">
        <w:t>du</w:t>
      </w:r>
      <w:proofErr w:type="gramEnd"/>
      <w:r w:rsidRPr="00FA158B">
        <w:t xml:space="preserve"> respect des modalités exposées à l’article </w:t>
      </w:r>
      <w:r w:rsidR="00983D6B" w:rsidRPr="00FA158B">
        <w:fldChar w:fldCharType="begin"/>
      </w:r>
      <w:r w:rsidR="00983D6B" w:rsidRPr="00FA158B">
        <w:instrText xml:space="preserve"> REF _Ref15383242 \r \h  \* MERGEFORMAT </w:instrText>
      </w:r>
      <w:r w:rsidR="00983D6B" w:rsidRPr="00FA158B">
        <w:fldChar w:fldCharType="separate"/>
      </w:r>
      <w:r w:rsidR="005E7E99">
        <w:t>4.5</w:t>
      </w:r>
      <w:r w:rsidR="00983D6B" w:rsidRPr="00FA158B">
        <w:fldChar w:fldCharType="end"/>
      </w:r>
      <w:r w:rsidRPr="00FA158B">
        <w:t xml:space="preserve"> des présentes dispositions générales.</w:t>
      </w:r>
    </w:p>
    <w:p w14:paraId="7DD81098" w14:textId="2EE7D2C3" w:rsidR="00F97290" w:rsidRPr="00FA158B" w:rsidRDefault="00F97290" w:rsidP="009C3752">
      <w:r w:rsidRPr="00FA158B">
        <w:t xml:space="preserve">Ces conditions sont cumulatives et le non-respect par le Fournisseur de l'une ou de plusieurs d'entre elles entraîne le refus </w:t>
      </w:r>
      <w:r w:rsidR="0076712A">
        <w:t>du GRD</w:t>
      </w:r>
      <w:r w:rsidRPr="00FA158B">
        <w:t xml:space="preserve"> de faire droit à la demande d’ouverture d’une période d’observation.</w:t>
      </w:r>
    </w:p>
    <w:p w14:paraId="65019A44" w14:textId="77777777" w:rsidR="00F97290" w:rsidRPr="00FA158B" w:rsidRDefault="00F97290" w:rsidP="009C3752">
      <w:r w:rsidRPr="00FA158B">
        <w:t xml:space="preserve">La durée de la période d’observation est fixée en nombre entier de mois, et est inférieure ou égale à un (1) an. La durée choisie par le Fournisseur est précisée dans l’avis d’ouverture d’une période d’observation. A défaut d'une dénonciation de la période d'observation dans les conditions de l'article </w:t>
      </w:r>
      <w:r w:rsidR="00983D6B" w:rsidRPr="00FA158B">
        <w:fldChar w:fldCharType="begin"/>
      </w:r>
      <w:r w:rsidR="00983D6B" w:rsidRPr="00FA158B">
        <w:instrText xml:space="preserve"> REF _Ref411949256 \r \h  \* MERGEFORMAT </w:instrText>
      </w:r>
      <w:r w:rsidR="00983D6B" w:rsidRPr="00FA158B">
        <w:fldChar w:fldCharType="separate"/>
      </w:r>
      <w:r w:rsidR="005E7E99">
        <w:t>4.4.1.2</w:t>
      </w:r>
      <w:r w:rsidR="00983D6B" w:rsidRPr="00FA158B">
        <w:fldChar w:fldCharType="end"/>
      </w:r>
      <w:r w:rsidRPr="00FA158B">
        <w:t>, ladite période d'observation est prolongée de mois en mois dans la limite d’un (1) an à compter de la date d’ouverture de ladite période d’observation.</w:t>
      </w:r>
    </w:p>
    <w:p w14:paraId="09881712" w14:textId="0E8D5484" w:rsidR="00F97290" w:rsidRPr="00FA158B" w:rsidRDefault="00F97290" w:rsidP="009C3752">
      <w:r w:rsidRPr="00FA158B">
        <w:t xml:space="preserve">L’ouverture de la période d’observation prend effet à la date convenue entre le Fournisseur et </w:t>
      </w:r>
      <w:r w:rsidR="0076712A">
        <w:t>le GRD</w:t>
      </w:r>
      <w:r w:rsidRPr="00FA158B">
        <w:t xml:space="preserve"> sur la Plate-forme d'échanges en fonction de la date de facturation du Client concerné.</w:t>
      </w:r>
    </w:p>
    <w:p w14:paraId="44E9C463" w14:textId="3815B169" w:rsidR="00F97290" w:rsidRPr="00FA158B" w:rsidRDefault="00F97290" w:rsidP="009C3752">
      <w:r w:rsidRPr="00FA158B">
        <w:t xml:space="preserve">Pendant cette période d’observation, la puissance réputée souscrite pendant chaque </w:t>
      </w:r>
      <w:r w:rsidR="00046F90">
        <w:t>Plag</w:t>
      </w:r>
      <w:r w:rsidRPr="00FA158B">
        <w:t xml:space="preserve">e Temporelle utilisée par </w:t>
      </w:r>
      <w:r w:rsidR="0076712A">
        <w:t>le GRD</w:t>
      </w:r>
      <w:r w:rsidRPr="00FA158B">
        <w:t xml:space="preserve"> pour la facturation pour le mois M est égale :</w:t>
      </w:r>
    </w:p>
    <w:p w14:paraId="571FE24E" w14:textId="77777777" w:rsidR="00F97290" w:rsidRPr="00FA158B" w:rsidRDefault="00F97290" w:rsidP="0005723B">
      <w:pPr>
        <w:pStyle w:val="SPuce"/>
      </w:pPr>
      <w:proofErr w:type="gramStart"/>
      <w:r w:rsidRPr="00FA158B">
        <w:t>à</w:t>
      </w:r>
      <w:proofErr w:type="gramEnd"/>
      <w:r w:rsidRPr="00FA158B">
        <w:t xml:space="preserve"> la plus forte puissance atteinte pendant ce mois ;</w:t>
      </w:r>
    </w:p>
    <w:p w14:paraId="7D39AA17" w14:textId="2B23E0DB" w:rsidR="00F97290" w:rsidRPr="00FA158B" w:rsidRDefault="00F97290" w:rsidP="0005723B">
      <w:pPr>
        <w:pStyle w:val="SPuce"/>
      </w:pPr>
      <w:proofErr w:type="gramStart"/>
      <w:r w:rsidRPr="00FA158B">
        <w:t>ou</w:t>
      </w:r>
      <w:proofErr w:type="gramEnd"/>
      <w:r w:rsidRPr="00FA158B">
        <w:t xml:space="preserve"> à la puissance réputée souscrite pour le mois M-1 si la puissance mentionnée ci</w:t>
      </w:r>
      <w:r w:rsidR="007C6D16">
        <w:t>-</w:t>
      </w:r>
      <w:r w:rsidRPr="00FA158B">
        <w:t>dessus lui est inférieure.</w:t>
      </w:r>
    </w:p>
    <w:p w14:paraId="283F39CE" w14:textId="7F040D49" w:rsidR="00F97290" w:rsidRPr="00FA158B" w:rsidRDefault="00F97290" w:rsidP="009C3752">
      <w:r w:rsidRPr="00FA158B">
        <w:lastRenderedPageBreak/>
        <w:t xml:space="preserve">Si la période d’observation est entièrement comprise dans la </w:t>
      </w:r>
      <w:r w:rsidR="00046F90">
        <w:t>Plag</w:t>
      </w:r>
      <w:r w:rsidRPr="00FA158B">
        <w:t xml:space="preserve">e </w:t>
      </w:r>
      <w:r w:rsidR="00AB6958" w:rsidRPr="00FA158B">
        <w:t>T</w:t>
      </w:r>
      <w:r w:rsidRPr="00FA158B">
        <w:t>emporelle d’été</w:t>
      </w:r>
      <w:r w:rsidR="00AB6958" w:rsidRPr="00FA158B">
        <w:t xml:space="preserve"> (saison basse)</w:t>
      </w:r>
      <w:r w:rsidRPr="00FA158B">
        <w:t xml:space="preserve">, définie par le TURPE, soit d’avril à octobre inclus, alors seules les </w:t>
      </w:r>
      <w:r w:rsidR="00AB6958" w:rsidRPr="00FA158B">
        <w:t>P</w:t>
      </w:r>
      <w:r w:rsidRPr="00FA158B">
        <w:t xml:space="preserve">uissances </w:t>
      </w:r>
      <w:r w:rsidR="00AB6958" w:rsidRPr="00FA158B">
        <w:t xml:space="preserve">Souscrites </w:t>
      </w:r>
      <w:r w:rsidRPr="00FA158B">
        <w:t xml:space="preserve">pendant les </w:t>
      </w:r>
      <w:r w:rsidR="00A67B2F">
        <w:t>Plage</w:t>
      </w:r>
      <w:r w:rsidR="00AB6958" w:rsidRPr="00FA158B">
        <w:t>s T</w:t>
      </w:r>
      <w:r w:rsidRPr="00FA158B">
        <w:t>emporelles heures pleines d’été</w:t>
      </w:r>
      <w:r w:rsidR="001578C2" w:rsidRPr="00FA158B">
        <w:t xml:space="preserve"> (saison basse)</w:t>
      </w:r>
      <w:r w:rsidRPr="00FA158B">
        <w:t xml:space="preserve"> et heures creuses d’été</w:t>
      </w:r>
      <w:r w:rsidR="001578C2" w:rsidRPr="00FA158B">
        <w:t xml:space="preserve"> (saison basse)</w:t>
      </w:r>
      <w:r w:rsidRPr="00FA158B">
        <w:t xml:space="preserve"> sont remplacées par la puissance réputée souscrite, si celle-ci leur est supérieure.</w:t>
      </w:r>
    </w:p>
    <w:p w14:paraId="1C995AA5" w14:textId="77777777" w:rsidR="00F97290" w:rsidRPr="00FA158B" w:rsidRDefault="00F97290" w:rsidP="000C0CCD">
      <w:pPr>
        <w:pStyle w:val="Titre4"/>
      </w:pPr>
      <w:bookmarkStart w:id="194" w:name="_Ref411949256"/>
      <w:r w:rsidRPr="00FA158B">
        <w:t>Clôture de la période d’observation</w:t>
      </w:r>
      <w:bookmarkEnd w:id="194"/>
    </w:p>
    <w:p w14:paraId="4237385E" w14:textId="597EA467" w:rsidR="00F97290" w:rsidRPr="00FA158B" w:rsidRDefault="00F97290" w:rsidP="009C3752">
      <w:r w:rsidRPr="00FA158B">
        <w:t xml:space="preserve">Au plus tard quinze jours calendaires avant la date de fin de la période d’observation, le Fournisseur adresse </w:t>
      </w:r>
      <w:r w:rsidR="0076712A">
        <w:t>au GRD</w:t>
      </w:r>
      <w:r w:rsidRPr="00FA158B">
        <w:t xml:space="preserve">, par formulaire sur la Plate-forme d’échanges, la(les) puissance(s) qu’il souhaite souscrire à l’issue de la période d’observation. </w:t>
      </w:r>
    </w:p>
    <w:p w14:paraId="5B7A527A" w14:textId="6A75D90F" w:rsidR="00F97290" w:rsidRPr="00FA158B" w:rsidRDefault="00F97290" w:rsidP="009C3752">
      <w:r w:rsidRPr="00FA158B">
        <w:t>Cette(ces) nouvelle(s) Puissance(s) Souscrite(s) ne peut(peuvent) pas être inférieure(s) à la plus petite des</w:t>
      </w:r>
      <w:r w:rsidR="00C62E74" w:rsidRPr="00FA158B">
        <w:t xml:space="preserve"> plus fortes</w:t>
      </w:r>
      <w:r w:rsidRPr="00FA158B">
        <w:t xml:space="preserve"> puissances atteintes pendant chacun des mois de la période d’observation. </w:t>
      </w:r>
    </w:p>
    <w:p w14:paraId="7EBAF479" w14:textId="031F7E85" w:rsidR="00F97290" w:rsidRPr="00FA158B" w:rsidRDefault="00F97290" w:rsidP="009C3752">
      <w:r w:rsidRPr="00FA158B">
        <w:t>Si l’une des conditions définies ci-dessus dans le présent artic</w:t>
      </w:r>
      <w:r w:rsidR="002B3E0E">
        <w:t>le n’est pas respectée, la(les)</w:t>
      </w:r>
      <w:r w:rsidRPr="00FA158B">
        <w:t xml:space="preserve"> nouvelle(s) Puissance(s) Souscrite(s) à l’issue de la période d’observation est(sont) égale(s) à la(aux) puissance(s) réputée(s) souscrite(s) utilisée(s) par </w:t>
      </w:r>
      <w:r w:rsidR="0076712A">
        <w:t>le GRD</w:t>
      </w:r>
      <w:r w:rsidRPr="00FA158B">
        <w:t xml:space="preserve"> pour calculer la facture du dernier mois de la période d’observation.</w:t>
      </w:r>
    </w:p>
    <w:p w14:paraId="6541C436" w14:textId="77777777" w:rsidR="00F97290" w:rsidRPr="00FA158B" w:rsidRDefault="00F97290" w:rsidP="009C3752">
      <w:r w:rsidRPr="00FA158B">
        <w:t>La(les) nouvelle(s) Puissance(s) Souscrite(s) à l’issue de la période d’observation prend(prennent) effet le premier jour du mois qui suit la date de fin de la période d’observation, sauf si la nouvelle Puissance Souscrite ou l’une des quelconque nouvelles Puissances Souscrites dépasse la capacité des ouvrages existants. Dans ce cas, la date d’effet de la modification de puissance(s) prend en considération la durée d’exécution des travaux nécessaires.</w:t>
      </w:r>
    </w:p>
    <w:p w14:paraId="27112801" w14:textId="77777777" w:rsidR="00F97290" w:rsidRPr="00FA158B" w:rsidRDefault="00F97290" w:rsidP="009C3752">
      <w:r w:rsidRPr="00FA158B">
        <w:t>La (les) nouvelle(s) Puissance(s) Souscrite(s) est (sont) la (les) puissance(s) que le Client prévoit d'appeler en chaque Point de Livraison pendant les douze mois qui suivent sa souscription.</w:t>
      </w:r>
    </w:p>
    <w:p w14:paraId="583886C7" w14:textId="77777777" w:rsidR="00F97290" w:rsidRPr="00FA158B" w:rsidRDefault="00F97290" w:rsidP="000C0CCD">
      <w:pPr>
        <w:pStyle w:val="Titre3"/>
      </w:pPr>
      <w:bookmarkStart w:id="195" w:name="_Toc520252308"/>
      <w:bookmarkStart w:id="196" w:name="_Toc520260040"/>
      <w:bookmarkStart w:id="197" w:name="_Toc527350855"/>
      <w:bookmarkStart w:id="198" w:name="_Ref527377247"/>
      <w:bookmarkStart w:id="199" w:name="_Ref529680117"/>
      <w:bookmarkStart w:id="200" w:name="_Ref535913562"/>
      <w:bookmarkStart w:id="201" w:name="_Ref15881893"/>
      <w:bookmarkStart w:id="202" w:name="_Ref484524830"/>
      <w:bookmarkStart w:id="203" w:name="_Toc21422446"/>
      <w:r w:rsidRPr="00FA158B">
        <w:t>Augmentation</w:t>
      </w:r>
      <w:bookmarkEnd w:id="195"/>
      <w:bookmarkEnd w:id="196"/>
      <w:bookmarkEnd w:id="197"/>
      <w:bookmarkEnd w:id="198"/>
      <w:bookmarkEnd w:id="199"/>
      <w:bookmarkEnd w:id="200"/>
      <w:r w:rsidRPr="00FA158B">
        <w:t xml:space="preserve"> de(s) Puissance(s) </w:t>
      </w:r>
      <w:bookmarkEnd w:id="201"/>
      <w:r w:rsidRPr="00FA158B">
        <w:t>Souscrite(s)</w:t>
      </w:r>
      <w:bookmarkEnd w:id="202"/>
      <w:bookmarkEnd w:id="203"/>
    </w:p>
    <w:p w14:paraId="0B976706" w14:textId="2F8FD5D1" w:rsidR="00F97290" w:rsidRPr="00FA158B" w:rsidRDefault="00F97290" w:rsidP="009C3752">
      <w:r w:rsidRPr="00FA158B">
        <w:t xml:space="preserve">La Puissance Souscrite peut augmenter à tout moment et dans une ou plusieurs </w:t>
      </w:r>
      <w:r w:rsidR="00A67B2F">
        <w:t>Plage</w:t>
      </w:r>
      <w:r w:rsidRPr="00FA158B">
        <w:t xml:space="preserve">s Temporelles en cours d’exécution du Contrat Unique concerné sous réserve : </w:t>
      </w:r>
    </w:p>
    <w:p w14:paraId="4A5805C7" w14:textId="77777777" w:rsidR="00F97290" w:rsidRPr="00FA158B" w:rsidRDefault="00710023" w:rsidP="0005723B">
      <w:pPr>
        <w:pStyle w:val="SPuce"/>
      </w:pPr>
      <w:proofErr w:type="gramStart"/>
      <w:r w:rsidRPr="00FA158B">
        <w:t>du</w:t>
      </w:r>
      <w:proofErr w:type="gramEnd"/>
      <w:r w:rsidRPr="00FA158B">
        <w:t xml:space="preserve"> respect des dispositions du c</w:t>
      </w:r>
      <w:r w:rsidR="00F97290" w:rsidRPr="00FA158B">
        <w:t>hapitre 2 des présentes dispositions générales ;</w:t>
      </w:r>
    </w:p>
    <w:p w14:paraId="2DE290C4" w14:textId="77777777" w:rsidR="00F97290" w:rsidRPr="00FA158B" w:rsidRDefault="00F97290" w:rsidP="0005723B">
      <w:pPr>
        <w:pStyle w:val="SPuce"/>
      </w:pPr>
      <w:proofErr w:type="gramStart"/>
      <w:r w:rsidRPr="00FA158B">
        <w:t>du</w:t>
      </w:r>
      <w:proofErr w:type="gramEnd"/>
      <w:r w:rsidRPr="00FA158B">
        <w:t xml:space="preserve"> respect des modalités exposées à l’article </w:t>
      </w:r>
      <w:r w:rsidR="00983D6B" w:rsidRPr="00FA158B">
        <w:fldChar w:fldCharType="begin"/>
      </w:r>
      <w:r w:rsidR="00983D6B" w:rsidRPr="00FA158B">
        <w:instrText xml:space="preserve"> REF _Ref15383242 \r \h  \* MERGEFORMAT </w:instrText>
      </w:r>
      <w:r w:rsidR="00983D6B" w:rsidRPr="00FA158B">
        <w:fldChar w:fldCharType="separate"/>
      </w:r>
      <w:r w:rsidR="005E7E99">
        <w:t>4.5</w:t>
      </w:r>
      <w:r w:rsidR="00983D6B" w:rsidRPr="00FA158B">
        <w:fldChar w:fldCharType="end"/>
      </w:r>
      <w:r w:rsidRPr="00FA158B">
        <w:t xml:space="preserve"> des présentes dispositions générales.</w:t>
      </w:r>
    </w:p>
    <w:p w14:paraId="67D87123" w14:textId="77777777" w:rsidR="00F67390" w:rsidRPr="00FA158B" w:rsidRDefault="00F67390" w:rsidP="00F67390">
      <w:pPr>
        <w:pStyle w:val="SPuce"/>
      </w:pPr>
      <w:proofErr w:type="gramStart"/>
      <w:r w:rsidRPr="00FA158B">
        <w:t>et</w:t>
      </w:r>
      <w:proofErr w:type="gramEnd"/>
      <w:r w:rsidRPr="00FA158B">
        <w:t xml:space="preserve"> du respect de l’inégalité P</w:t>
      </w:r>
      <w:r w:rsidRPr="00FA158B">
        <w:rPr>
          <w:vertAlign w:val="subscript"/>
        </w:rPr>
        <w:t>i+1</w:t>
      </w:r>
      <w:r w:rsidRPr="00FA158B">
        <w:t xml:space="preserve"> </w:t>
      </w:r>
      <w:r w:rsidRPr="00FA158B">
        <w:sym w:font="Symbol" w:char="F0B3"/>
      </w:r>
      <w:r w:rsidRPr="00FA158B">
        <w:t xml:space="preserve"> P</w:t>
      </w:r>
      <w:r w:rsidRPr="00FA158B">
        <w:rPr>
          <w:vertAlign w:val="subscript"/>
        </w:rPr>
        <w:t>i</w:t>
      </w:r>
      <w:r w:rsidRPr="00FA158B">
        <w:t>, conformément au TURPE.</w:t>
      </w:r>
    </w:p>
    <w:p w14:paraId="757945EC" w14:textId="3C0A9289" w:rsidR="00F97290" w:rsidRPr="00FA158B" w:rsidRDefault="00F97290" w:rsidP="009C3752">
      <w:r w:rsidRPr="00FA158B">
        <w:t xml:space="preserve">Ces conditions sont cumulatives et le non-respect par le Fournisseur de l'une ou de plusieurs d'entre elles entraîne le refus </w:t>
      </w:r>
      <w:r w:rsidR="0076712A">
        <w:t>du GRD</w:t>
      </w:r>
      <w:r w:rsidRPr="00FA158B">
        <w:t xml:space="preserve"> de faire droit à la demande d'augmentation.</w:t>
      </w:r>
    </w:p>
    <w:p w14:paraId="487C5264" w14:textId="77777777" w:rsidR="00F97290" w:rsidRPr="00FA158B" w:rsidRDefault="00F97290" w:rsidP="009C3752">
      <w:r w:rsidRPr="00FA158B">
        <w:t>Lorsque la demande remplit les conditions sus-énoncées, l'augmentation de puissance entraîne :</w:t>
      </w:r>
    </w:p>
    <w:p w14:paraId="64719048" w14:textId="7CA462EA" w:rsidR="00F97290" w:rsidRPr="00FA158B" w:rsidRDefault="00F97290" w:rsidP="00F97290">
      <w:pPr>
        <w:pStyle w:val="SPuce"/>
      </w:pPr>
      <w:proofErr w:type="gramStart"/>
      <w:r w:rsidRPr="00FA158B">
        <w:t>un</w:t>
      </w:r>
      <w:proofErr w:type="gramEnd"/>
      <w:r w:rsidRPr="00FA158B">
        <w:t xml:space="preserve"> recalcul de la Puissance Souscrite </w:t>
      </w:r>
      <w:r w:rsidR="00340999">
        <w:t>Pondérée</w:t>
      </w:r>
      <w:r w:rsidR="00E838CC" w:rsidRPr="00FA158B">
        <w:t>, conformément au TURPE</w:t>
      </w:r>
      <w:r w:rsidR="001578C2" w:rsidRPr="00FA158B">
        <w:t xml:space="preserve"> </w:t>
      </w:r>
      <w:r w:rsidRPr="00FA158B">
        <w:t>;</w:t>
      </w:r>
    </w:p>
    <w:p w14:paraId="73B8FEB5" w14:textId="77777777" w:rsidR="00F97290" w:rsidRPr="00FA158B" w:rsidRDefault="00F97290" w:rsidP="00F97290">
      <w:pPr>
        <w:pStyle w:val="SPuce"/>
      </w:pPr>
      <w:proofErr w:type="gramStart"/>
      <w:r w:rsidRPr="00FA158B">
        <w:t>une</w:t>
      </w:r>
      <w:proofErr w:type="gramEnd"/>
      <w:r w:rsidRPr="00FA158B">
        <w:t xml:space="preserve"> augmentation proportionnelle du montant mensuel facturé au Fournisseur au titre de la puissance. </w:t>
      </w:r>
    </w:p>
    <w:p w14:paraId="1B105CD1" w14:textId="4973A058" w:rsidR="00F97290" w:rsidRPr="00FA158B" w:rsidRDefault="00791F3F" w:rsidP="009C3752">
      <w:r w:rsidRPr="00FA158B">
        <w:t>L</w:t>
      </w:r>
      <w:r w:rsidR="00F97290" w:rsidRPr="00FA158B">
        <w:t xml:space="preserve">e Fournisseur bénéficie, pour le mois précédent la date d’effet de l’augmentation de puissance, d’un abattement égal à 6 fois le pourcentage d’augmentation de la Puissance Souscrite </w:t>
      </w:r>
      <w:r w:rsidR="00340999">
        <w:t>Pondérée</w:t>
      </w:r>
      <w:r w:rsidR="00F97290" w:rsidRPr="00FA158B">
        <w:t xml:space="preserve"> du montant facturé au titre des dépassements de puissance pendant le mois susvisé. Cet abattement est plafonné à 50 % du montant facturé.</w:t>
      </w:r>
    </w:p>
    <w:p w14:paraId="5DC58987" w14:textId="3C7A9DDE" w:rsidR="00F97290" w:rsidRPr="00FA158B" w:rsidRDefault="00F97290" w:rsidP="009C3752">
      <w:bookmarkStart w:id="204" w:name="_Ref12857416"/>
      <w:bookmarkStart w:id="205" w:name="_Ref535913567"/>
      <w:bookmarkStart w:id="206" w:name="_Toc520252315"/>
      <w:bookmarkStart w:id="207" w:name="_Toc520260047"/>
      <w:bookmarkStart w:id="208" w:name="_Toc527350861"/>
      <w:r w:rsidRPr="00FA158B">
        <w:t>Compte tenu d</w:t>
      </w:r>
      <w:r w:rsidR="000C1691">
        <w:t xml:space="preserve">’une durée minimale de souscription de douze mois consécutifs </w:t>
      </w:r>
      <w:r w:rsidRPr="00FA158B">
        <w:t xml:space="preserve">de la Puissance Souscrite prévu par le TURPE, si la date d’effet de l’augmentation de l’une des quelconque Puissances Souscrites intervient moins de douze mois après la date d’effet de la dernière diminution de l’une des quelconque Puissances Souscrites, </w:t>
      </w:r>
      <w:r w:rsidR="0076712A">
        <w:t>le GRD</w:t>
      </w:r>
      <w:r w:rsidRPr="00FA158B">
        <w:t xml:space="preserve"> facturera au Fournisseur une somme égale à :</w:t>
      </w:r>
    </w:p>
    <w:p w14:paraId="7E39E472" w14:textId="2EECF06B" w:rsidR="00F97290" w:rsidRPr="00FA158B" w:rsidRDefault="00F97290" w:rsidP="00F97290">
      <w:pPr>
        <w:pStyle w:val="SPuce"/>
      </w:pPr>
      <w:r w:rsidRPr="00FA158B">
        <w:rPr>
          <w:noProof/>
        </w:rPr>
        <w:t>(P</w:t>
      </w:r>
      <w:r w:rsidRPr="00FA158B">
        <w:rPr>
          <w:noProof/>
          <w:vertAlign w:val="subscript"/>
        </w:rPr>
        <w:t>souscrite pondérée 1</w:t>
      </w:r>
      <w:r w:rsidRPr="00FA158B">
        <w:rPr>
          <w:noProof/>
        </w:rPr>
        <w:t xml:space="preserve"> – P</w:t>
      </w:r>
      <w:r w:rsidRPr="00FA158B">
        <w:rPr>
          <w:noProof/>
          <w:vertAlign w:val="subscript"/>
        </w:rPr>
        <w:t>souscrite pondérée 2</w:t>
      </w:r>
      <w:r w:rsidRPr="00FA158B">
        <w:rPr>
          <w:noProof/>
        </w:rPr>
        <w:t>)</w:t>
      </w:r>
      <w:r w:rsidRPr="00FA158B">
        <w:rPr>
          <w:noProof/>
        </w:rPr>
        <w:sym w:font="Symbol" w:char="F0B4"/>
      </w:r>
      <w:r w:rsidRPr="00FA158B">
        <w:rPr>
          <w:noProof/>
        </w:rPr>
        <w:t>n/12</w:t>
      </w:r>
      <w:r w:rsidRPr="00FA158B">
        <w:rPr>
          <w:noProof/>
        </w:rPr>
        <w:sym w:font="Symbol" w:char="F0B4"/>
      </w:r>
      <w:r w:rsidR="00FB6494" w:rsidRPr="00FA158B">
        <w:rPr>
          <w:noProof/>
        </w:rPr>
        <w:t>b</w:t>
      </w:r>
      <w:r w:rsidR="00FB6494" w:rsidRPr="00FA158B">
        <w:rPr>
          <w:noProof/>
          <w:vertAlign w:val="subscript"/>
        </w:rPr>
        <w:t>1</w:t>
      </w:r>
      <w:r w:rsidRPr="00FA158B">
        <w:rPr>
          <w:noProof/>
        </w:rPr>
        <w:t>, s</w:t>
      </w:r>
      <w:r w:rsidRPr="00FA158B">
        <w:t xml:space="preserve">i la nouvelle puissance souscrite </w:t>
      </w:r>
      <w:r w:rsidR="00340999">
        <w:t>Pondérée</w:t>
      </w:r>
      <w:r w:rsidRPr="00FA158B">
        <w:t xml:space="preserve"> est supérieure ou égale à la puissance souscrite </w:t>
      </w:r>
      <w:r w:rsidR="00340999">
        <w:t>Pondérée</w:t>
      </w:r>
      <w:r w:rsidR="000C1691" w:rsidRPr="00FA158B">
        <w:t xml:space="preserve"> </w:t>
      </w:r>
      <w:r w:rsidRPr="00FA158B">
        <w:t xml:space="preserve">avant la dernière diminution de puissances, </w:t>
      </w:r>
      <w:r w:rsidRPr="00FA158B">
        <w:rPr>
          <w:noProof/>
        </w:rPr>
        <w:t>avec P</w:t>
      </w:r>
      <w:r w:rsidRPr="00FA158B">
        <w:rPr>
          <w:noProof/>
          <w:vertAlign w:val="subscript"/>
        </w:rPr>
        <w:t>souscrite</w:t>
      </w:r>
      <w:r w:rsidRPr="00FA158B">
        <w:rPr>
          <w:vertAlign w:val="subscript"/>
        </w:rPr>
        <w:t xml:space="preserve"> pondérée</w:t>
      </w:r>
      <w:r w:rsidRPr="00FA158B">
        <w:t xml:space="preserve"> </w:t>
      </w:r>
      <w:r w:rsidRPr="00FA158B">
        <w:rPr>
          <w:noProof/>
          <w:vertAlign w:val="subscript"/>
        </w:rPr>
        <w:t>1</w:t>
      </w:r>
      <w:r w:rsidRPr="00FA158B">
        <w:rPr>
          <w:noProof/>
        </w:rPr>
        <w:t xml:space="preserve"> la puissance souscrite </w:t>
      </w:r>
      <w:r w:rsidR="00340999">
        <w:t>Pondérée</w:t>
      </w:r>
      <w:r w:rsidRPr="00FA158B">
        <w:t xml:space="preserve"> </w:t>
      </w:r>
      <w:r w:rsidRPr="00FA158B">
        <w:rPr>
          <w:noProof/>
        </w:rPr>
        <w:t>avant la dernière diminution de puissance, P</w:t>
      </w:r>
      <w:r w:rsidRPr="00FA158B">
        <w:rPr>
          <w:noProof/>
          <w:vertAlign w:val="subscript"/>
        </w:rPr>
        <w:t>souscrite</w:t>
      </w:r>
      <w:r w:rsidRPr="00FA158B">
        <w:rPr>
          <w:vertAlign w:val="subscript"/>
        </w:rPr>
        <w:t xml:space="preserve"> pondérée</w:t>
      </w:r>
      <w:r w:rsidRPr="00FA158B">
        <w:t xml:space="preserve"> </w:t>
      </w:r>
      <w:r w:rsidRPr="00FA158B">
        <w:rPr>
          <w:noProof/>
          <w:vertAlign w:val="subscript"/>
        </w:rPr>
        <w:t>2</w:t>
      </w:r>
      <w:r w:rsidRPr="00FA158B">
        <w:rPr>
          <w:noProof/>
        </w:rPr>
        <w:t xml:space="preserve"> la puissance souscrite </w:t>
      </w:r>
      <w:r w:rsidR="00340999">
        <w:t>Pondérée</w:t>
      </w:r>
      <w:r w:rsidRPr="00FA158B">
        <w:t xml:space="preserve"> </w:t>
      </w:r>
      <w:r w:rsidRPr="00FA158B">
        <w:rPr>
          <w:noProof/>
        </w:rPr>
        <w:t>lors de cette diminution de puissance, n la durée de la souscription de P</w:t>
      </w:r>
      <w:r w:rsidRPr="00FA158B">
        <w:rPr>
          <w:noProof/>
          <w:vertAlign w:val="subscript"/>
        </w:rPr>
        <w:t>souscrite</w:t>
      </w:r>
      <w:r w:rsidRPr="00FA158B">
        <w:rPr>
          <w:vertAlign w:val="subscript"/>
        </w:rPr>
        <w:t xml:space="preserve"> pondérée</w:t>
      </w:r>
      <w:r w:rsidRPr="00FA158B">
        <w:t xml:space="preserve"> </w:t>
      </w:r>
      <w:r w:rsidRPr="00FA158B">
        <w:rPr>
          <w:noProof/>
          <w:vertAlign w:val="subscript"/>
        </w:rPr>
        <w:t>2</w:t>
      </w:r>
      <w:r w:rsidRPr="00FA158B">
        <w:rPr>
          <w:noProof/>
        </w:rPr>
        <w:t xml:space="preserve"> exprimée en mois.</w:t>
      </w:r>
    </w:p>
    <w:p w14:paraId="0DFDD28B" w14:textId="3B0B2643" w:rsidR="00F97290" w:rsidRPr="00FA158B" w:rsidRDefault="00F97290" w:rsidP="00F97290">
      <w:pPr>
        <w:pStyle w:val="SPuce"/>
      </w:pPr>
      <w:r w:rsidRPr="00FA158B">
        <w:rPr>
          <w:noProof/>
        </w:rPr>
        <w:t>(P</w:t>
      </w:r>
      <w:r w:rsidRPr="00FA158B">
        <w:rPr>
          <w:noProof/>
          <w:vertAlign w:val="subscript"/>
        </w:rPr>
        <w:t>souscrite pondérée 3</w:t>
      </w:r>
      <w:r w:rsidRPr="00FA158B">
        <w:rPr>
          <w:noProof/>
        </w:rPr>
        <w:t xml:space="preserve"> – P</w:t>
      </w:r>
      <w:r w:rsidRPr="00FA158B">
        <w:rPr>
          <w:noProof/>
          <w:vertAlign w:val="subscript"/>
        </w:rPr>
        <w:t>souscrite pondér</w:t>
      </w:r>
      <w:r w:rsidR="00340999">
        <w:rPr>
          <w:noProof/>
          <w:vertAlign w:val="subscript"/>
        </w:rPr>
        <w:t>é</w:t>
      </w:r>
      <w:r w:rsidRPr="00FA158B">
        <w:rPr>
          <w:noProof/>
          <w:vertAlign w:val="subscript"/>
        </w:rPr>
        <w:t>e 2</w:t>
      </w:r>
      <w:r w:rsidRPr="00FA158B">
        <w:rPr>
          <w:noProof/>
        </w:rPr>
        <w:t>)</w:t>
      </w:r>
      <w:r w:rsidRPr="00FA158B">
        <w:rPr>
          <w:noProof/>
        </w:rPr>
        <w:sym w:font="Symbol" w:char="F0B4"/>
      </w:r>
      <w:r w:rsidRPr="00FA158B">
        <w:rPr>
          <w:noProof/>
        </w:rPr>
        <w:t>n/12</w:t>
      </w:r>
      <w:r w:rsidRPr="00FA158B">
        <w:rPr>
          <w:noProof/>
        </w:rPr>
        <w:sym w:font="Symbol" w:char="F0B4"/>
      </w:r>
      <w:r w:rsidR="00FB6494" w:rsidRPr="00FA158B">
        <w:rPr>
          <w:noProof/>
        </w:rPr>
        <w:t xml:space="preserve"> b</w:t>
      </w:r>
      <w:r w:rsidR="00FB6494" w:rsidRPr="00FA158B">
        <w:rPr>
          <w:noProof/>
          <w:vertAlign w:val="subscript"/>
        </w:rPr>
        <w:t>1</w:t>
      </w:r>
      <w:r w:rsidRPr="00FA158B">
        <w:rPr>
          <w:noProof/>
        </w:rPr>
        <w:t xml:space="preserve">, </w:t>
      </w:r>
      <w:r w:rsidRPr="00FA158B">
        <w:t>s</w:t>
      </w:r>
      <w:r w:rsidRPr="00FA158B">
        <w:rPr>
          <w:noProof/>
        </w:rPr>
        <w:t xml:space="preserve">i la nouvelle </w:t>
      </w:r>
      <w:r w:rsidRPr="00FA158B">
        <w:t xml:space="preserve">puissance souscrite </w:t>
      </w:r>
      <w:r w:rsidR="00340999">
        <w:t>Pondérée</w:t>
      </w:r>
      <w:r w:rsidRPr="00FA158B">
        <w:t xml:space="preserve"> est strictement inférieure à la puissance souscrite </w:t>
      </w:r>
      <w:r w:rsidR="00340999">
        <w:t>Pondérée</w:t>
      </w:r>
      <w:r w:rsidRPr="00FA158B">
        <w:t xml:space="preserve"> avant la baisse précédent la demande d’augmentation de puissance, </w:t>
      </w:r>
      <w:r w:rsidRPr="00FA158B">
        <w:rPr>
          <w:noProof/>
        </w:rPr>
        <w:t>avec P</w:t>
      </w:r>
      <w:r w:rsidRPr="00FA158B">
        <w:rPr>
          <w:noProof/>
          <w:vertAlign w:val="subscript"/>
        </w:rPr>
        <w:t>souscrite</w:t>
      </w:r>
      <w:r w:rsidRPr="00FA158B">
        <w:rPr>
          <w:vertAlign w:val="subscript"/>
        </w:rPr>
        <w:t xml:space="preserve"> pondérée </w:t>
      </w:r>
      <w:r w:rsidRPr="00FA158B">
        <w:rPr>
          <w:noProof/>
          <w:vertAlign w:val="subscript"/>
        </w:rPr>
        <w:t>3</w:t>
      </w:r>
      <w:r w:rsidRPr="00FA158B">
        <w:rPr>
          <w:noProof/>
        </w:rPr>
        <w:t xml:space="preserve"> la puissance souscrite </w:t>
      </w:r>
      <w:r w:rsidR="00340999">
        <w:t>Pondérée</w:t>
      </w:r>
      <w:r w:rsidRPr="00FA158B">
        <w:t xml:space="preserve"> </w:t>
      </w:r>
      <w:r w:rsidRPr="00FA158B">
        <w:rPr>
          <w:noProof/>
        </w:rPr>
        <w:t>lors de l’augmentation de puissances, P</w:t>
      </w:r>
      <w:r w:rsidRPr="00FA158B">
        <w:rPr>
          <w:noProof/>
          <w:vertAlign w:val="subscript"/>
        </w:rPr>
        <w:t>souscrite</w:t>
      </w:r>
      <w:r w:rsidRPr="00FA158B">
        <w:rPr>
          <w:vertAlign w:val="subscript"/>
        </w:rPr>
        <w:t xml:space="preserve"> pondérée </w:t>
      </w:r>
      <w:r w:rsidRPr="00FA158B">
        <w:rPr>
          <w:noProof/>
          <w:vertAlign w:val="subscript"/>
        </w:rPr>
        <w:t>2</w:t>
      </w:r>
      <w:r w:rsidRPr="00FA158B">
        <w:rPr>
          <w:noProof/>
        </w:rPr>
        <w:t xml:space="preserve"> la puissance souscrite </w:t>
      </w:r>
      <w:r w:rsidR="00340999">
        <w:t>Pondérée</w:t>
      </w:r>
      <w:r w:rsidRPr="00FA158B">
        <w:t xml:space="preserve"> </w:t>
      </w:r>
      <w:r w:rsidRPr="00FA158B">
        <w:rPr>
          <w:noProof/>
        </w:rPr>
        <w:t>lors de cette diminution de puissance, n la durée de la souscription de P</w:t>
      </w:r>
      <w:r w:rsidRPr="00FA158B">
        <w:rPr>
          <w:noProof/>
          <w:vertAlign w:val="subscript"/>
        </w:rPr>
        <w:t>souscrite</w:t>
      </w:r>
      <w:r w:rsidRPr="00FA158B">
        <w:rPr>
          <w:vertAlign w:val="subscript"/>
        </w:rPr>
        <w:t xml:space="preserve"> pondérée </w:t>
      </w:r>
      <w:r w:rsidRPr="00FA158B">
        <w:rPr>
          <w:noProof/>
          <w:vertAlign w:val="subscript"/>
        </w:rPr>
        <w:t>2</w:t>
      </w:r>
      <w:r w:rsidRPr="00FA158B">
        <w:rPr>
          <w:noProof/>
        </w:rPr>
        <w:t xml:space="preserve"> exprimée en mois.</w:t>
      </w:r>
    </w:p>
    <w:p w14:paraId="5D82CBFA" w14:textId="77777777" w:rsidR="00F97290" w:rsidRPr="00FA158B" w:rsidRDefault="00F97290" w:rsidP="009C3752">
      <w:r w:rsidRPr="00FA158B">
        <w:t xml:space="preserve">Dans les deux formules ci-dessus, </w:t>
      </w:r>
      <w:r w:rsidR="00FB6494" w:rsidRPr="00FA158B">
        <w:rPr>
          <w:noProof/>
        </w:rPr>
        <w:t>b</w:t>
      </w:r>
      <w:r w:rsidR="00FB6494" w:rsidRPr="00FA158B">
        <w:rPr>
          <w:noProof/>
          <w:vertAlign w:val="subscript"/>
        </w:rPr>
        <w:t>1</w:t>
      </w:r>
      <w:r w:rsidRPr="00FA158B">
        <w:t xml:space="preserve"> est défini par le TURPE.</w:t>
      </w:r>
    </w:p>
    <w:p w14:paraId="7DD81979" w14:textId="77777777" w:rsidR="00F97290" w:rsidRPr="00FA158B" w:rsidRDefault="00F97290" w:rsidP="009C3752">
      <w:r w:rsidRPr="00FA158B">
        <w:lastRenderedPageBreak/>
        <w:t>Dans le cas où plusieurs diminutions de puissance se sont succédé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6656271F" w14:textId="70131065" w:rsidR="00F97290" w:rsidRPr="00FA158B" w:rsidRDefault="00F97290" w:rsidP="000C0CCD">
      <w:pPr>
        <w:pStyle w:val="Titre3"/>
      </w:pPr>
      <w:bookmarkStart w:id="209" w:name="_Ref484524845"/>
      <w:bookmarkStart w:id="210" w:name="_Toc21422447"/>
      <w:bookmarkEnd w:id="204"/>
      <w:r w:rsidRPr="00FA158B">
        <w:t>Diminution de(s) Puissance(s) Souscrite</w:t>
      </w:r>
      <w:bookmarkEnd w:id="205"/>
      <w:r w:rsidRPr="00FA158B">
        <w:t>(s)</w:t>
      </w:r>
      <w:bookmarkEnd w:id="209"/>
      <w:r w:rsidR="000C1691">
        <w:t xml:space="preserve"> </w:t>
      </w:r>
      <w:bookmarkEnd w:id="210"/>
    </w:p>
    <w:p w14:paraId="1227CD52" w14:textId="472B55FB" w:rsidR="00F97290" w:rsidRPr="008171E3" w:rsidRDefault="00F97290" w:rsidP="009C3752">
      <w:r w:rsidRPr="008171E3">
        <w:t xml:space="preserve">La Puissance Souscrite peut diminuer à tout moment et dans une ou plusieurs </w:t>
      </w:r>
      <w:r w:rsidR="00A67B2F" w:rsidRPr="008171E3">
        <w:t>Plage</w:t>
      </w:r>
      <w:r w:rsidRPr="008171E3">
        <w:t xml:space="preserve">s Temporelles en cours d’exécution du Contrat Unique concerné sous réserve : </w:t>
      </w:r>
    </w:p>
    <w:p w14:paraId="1BFC7C56" w14:textId="77777777" w:rsidR="00F97290" w:rsidRPr="008171E3" w:rsidRDefault="00710023" w:rsidP="00F97290">
      <w:pPr>
        <w:pStyle w:val="SPuce"/>
      </w:pPr>
      <w:proofErr w:type="gramStart"/>
      <w:r w:rsidRPr="008171E3">
        <w:t>du</w:t>
      </w:r>
      <w:proofErr w:type="gramEnd"/>
      <w:r w:rsidRPr="008171E3">
        <w:t xml:space="preserve"> respect des dispositions du c</w:t>
      </w:r>
      <w:r w:rsidR="00F97290" w:rsidRPr="008171E3">
        <w:t>hapitre 2 des présentes dispositions générales ;</w:t>
      </w:r>
    </w:p>
    <w:p w14:paraId="403AB5E6" w14:textId="77777777" w:rsidR="00F97290" w:rsidRPr="008171E3" w:rsidRDefault="00F97290" w:rsidP="00F97290">
      <w:pPr>
        <w:pStyle w:val="SPuce"/>
      </w:pPr>
      <w:proofErr w:type="gramStart"/>
      <w:r w:rsidRPr="008171E3">
        <w:t>du</w:t>
      </w:r>
      <w:proofErr w:type="gramEnd"/>
      <w:r w:rsidRPr="008171E3">
        <w:t xml:space="preserve"> respect des modalités exposées à l’article </w:t>
      </w:r>
      <w:r w:rsidR="00983D6B" w:rsidRPr="008171E3">
        <w:fldChar w:fldCharType="begin"/>
      </w:r>
      <w:r w:rsidR="00983D6B" w:rsidRPr="008171E3">
        <w:instrText xml:space="preserve"> REF _Ref15383242 \r \h  \* MERGEFORMAT </w:instrText>
      </w:r>
      <w:r w:rsidR="00983D6B" w:rsidRPr="008171E3">
        <w:fldChar w:fldCharType="separate"/>
      </w:r>
      <w:r w:rsidR="005E7E99" w:rsidRPr="008171E3">
        <w:t>4.5</w:t>
      </w:r>
      <w:r w:rsidR="00983D6B" w:rsidRPr="008171E3">
        <w:fldChar w:fldCharType="end"/>
      </w:r>
      <w:r w:rsidRPr="008171E3">
        <w:t xml:space="preserve"> des présentes dispositions générales</w:t>
      </w:r>
    </w:p>
    <w:p w14:paraId="27611D69" w14:textId="77777777" w:rsidR="00F67390" w:rsidRPr="008171E3" w:rsidRDefault="00F67390" w:rsidP="00F67390">
      <w:pPr>
        <w:pStyle w:val="SPuce"/>
      </w:pPr>
      <w:proofErr w:type="gramStart"/>
      <w:r w:rsidRPr="008171E3">
        <w:t>et</w:t>
      </w:r>
      <w:proofErr w:type="gramEnd"/>
      <w:r w:rsidRPr="008171E3">
        <w:t xml:space="preserve"> du respect de l’inégalité P</w:t>
      </w:r>
      <w:r w:rsidRPr="008171E3">
        <w:rPr>
          <w:vertAlign w:val="subscript"/>
        </w:rPr>
        <w:t>i+1</w:t>
      </w:r>
      <w:r w:rsidRPr="008171E3">
        <w:t xml:space="preserve"> </w:t>
      </w:r>
      <w:r w:rsidRPr="008171E3">
        <w:sym w:font="Symbol" w:char="F0B3"/>
      </w:r>
      <w:r w:rsidRPr="008171E3">
        <w:t xml:space="preserve"> P</w:t>
      </w:r>
      <w:r w:rsidRPr="008171E3">
        <w:rPr>
          <w:vertAlign w:val="subscript"/>
        </w:rPr>
        <w:t>i</w:t>
      </w:r>
      <w:r w:rsidRPr="008171E3">
        <w:t>, conformément au TURPE.</w:t>
      </w:r>
    </w:p>
    <w:p w14:paraId="53B20B5A" w14:textId="648E5540" w:rsidR="00F97290" w:rsidRPr="008171E3" w:rsidRDefault="00F97290" w:rsidP="009C3752">
      <w:r w:rsidRPr="008171E3">
        <w:t xml:space="preserve">Ces conditions sont cumulatives et le non-respect par le Fournisseur de l'une ou de plusieurs d'entre elles entraîne le refus </w:t>
      </w:r>
      <w:r w:rsidR="0076712A" w:rsidRPr="008171E3">
        <w:t>du GRD</w:t>
      </w:r>
      <w:r w:rsidRPr="008171E3">
        <w:t xml:space="preserve"> de faire droit à la demande de diminution.</w:t>
      </w:r>
    </w:p>
    <w:p w14:paraId="706A5D19" w14:textId="77777777" w:rsidR="00F97290" w:rsidRPr="008171E3" w:rsidRDefault="00F97290" w:rsidP="009C3752">
      <w:r w:rsidRPr="008171E3">
        <w:t>Lorsque la demande remplit les conditions sus-énoncées, la diminution de puissance(s) entraîne :</w:t>
      </w:r>
    </w:p>
    <w:p w14:paraId="3B828D61" w14:textId="436954A3" w:rsidR="00F97290" w:rsidRPr="008171E3" w:rsidRDefault="00F97290" w:rsidP="00F97290">
      <w:pPr>
        <w:pStyle w:val="SPuce"/>
      </w:pPr>
      <w:proofErr w:type="gramStart"/>
      <w:r w:rsidRPr="008171E3">
        <w:t>un</w:t>
      </w:r>
      <w:proofErr w:type="gramEnd"/>
      <w:r w:rsidRPr="008171E3">
        <w:t xml:space="preserve"> recalcul de la Puissance Souscrite </w:t>
      </w:r>
      <w:r w:rsidR="00340999" w:rsidRPr="008171E3">
        <w:t>Pondérée</w:t>
      </w:r>
      <w:r w:rsidR="008327D5" w:rsidRPr="008171E3">
        <w:t xml:space="preserve"> conformément au TURPE</w:t>
      </w:r>
      <w:r w:rsidR="00F33F39" w:rsidRPr="008171E3">
        <w:t xml:space="preserve"> </w:t>
      </w:r>
      <w:r w:rsidRPr="008171E3">
        <w:t>;</w:t>
      </w:r>
    </w:p>
    <w:p w14:paraId="1A76A17A" w14:textId="77777777" w:rsidR="00F97290" w:rsidRPr="008171E3" w:rsidRDefault="00F97290" w:rsidP="00F97290">
      <w:pPr>
        <w:pStyle w:val="SPuce"/>
      </w:pPr>
      <w:proofErr w:type="gramStart"/>
      <w:r w:rsidRPr="008171E3">
        <w:t>une</w:t>
      </w:r>
      <w:proofErr w:type="gramEnd"/>
      <w:r w:rsidRPr="008171E3">
        <w:t xml:space="preserve"> diminution proportionnelle du montant mensuel facturé au Fournisseur au titre de la puissance.</w:t>
      </w:r>
    </w:p>
    <w:p w14:paraId="541D73A0" w14:textId="5CA40C37" w:rsidR="00F97290" w:rsidRPr="008171E3" w:rsidRDefault="00F97290" w:rsidP="0005723B">
      <w:pPr>
        <w:rPr>
          <w:noProof/>
        </w:rPr>
      </w:pPr>
      <w:r w:rsidRPr="008171E3">
        <w:t>Compte tenu d</w:t>
      </w:r>
      <w:r w:rsidR="000C1691" w:rsidRPr="008171E3">
        <w:t xml:space="preserve">’une durée minimale de souscription de douze mois consécutifs </w:t>
      </w:r>
      <w:r w:rsidRPr="008171E3">
        <w:t xml:space="preserve">de la Puissance Souscrite prévu par le TURPE, si la date d’effet de la diminution de l’une des quelconque Puissances Souscrites intervient moins de douze mois après la date d’effet de la dernière augmentation de l’une des quelconque Puissances Souscrites, </w:t>
      </w:r>
      <w:r w:rsidR="0076712A" w:rsidRPr="008171E3">
        <w:t>le GRD</w:t>
      </w:r>
      <w:r w:rsidRPr="008171E3">
        <w:t xml:space="preserve"> facturera au Fournisseur une somme égale à</w:t>
      </w:r>
      <w:r w:rsidRPr="008171E3">
        <w:rPr>
          <w:b/>
        </w:rPr>
        <w:t> :</w:t>
      </w:r>
      <w:r w:rsidRPr="008171E3">
        <w:rPr>
          <w:noProof/>
        </w:rPr>
        <w:t xml:space="preserve"> </w:t>
      </w:r>
    </w:p>
    <w:p w14:paraId="08E9A4B5" w14:textId="61142F05" w:rsidR="00F97290" w:rsidRPr="008171E3" w:rsidRDefault="00F97290" w:rsidP="009C3752">
      <w:pPr>
        <w:rPr>
          <w:noProof/>
        </w:rPr>
      </w:pPr>
      <w:r w:rsidRPr="008171E3">
        <w:rPr>
          <w:noProof/>
        </w:rPr>
        <w:t>(P</w:t>
      </w:r>
      <w:r w:rsidRPr="008171E3">
        <w:rPr>
          <w:noProof/>
          <w:vertAlign w:val="subscript"/>
        </w:rPr>
        <w:t>souscrite pondérée 2</w:t>
      </w:r>
      <w:r w:rsidRPr="008171E3">
        <w:rPr>
          <w:noProof/>
        </w:rPr>
        <w:t xml:space="preserve"> – P</w:t>
      </w:r>
      <w:r w:rsidRPr="008171E3">
        <w:rPr>
          <w:noProof/>
          <w:vertAlign w:val="subscript"/>
        </w:rPr>
        <w:t>souscrite pondér</w:t>
      </w:r>
      <w:r w:rsidR="00340999" w:rsidRPr="008171E3">
        <w:rPr>
          <w:noProof/>
          <w:vertAlign w:val="subscript"/>
        </w:rPr>
        <w:t>é</w:t>
      </w:r>
      <w:r w:rsidRPr="008171E3">
        <w:rPr>
          <w:noProof/>
          <w:vertAlign w:val="subscript"/>
        </w:rPr>
        <w:t>e 3</w:t>
      </w:r>
      <w:r w:rsidRPr="008171E3">
        <w:rPr>
          <w:noProof/>
        </w:rPr>
        <w:t>)</w:t>
      </w:r>
      <w:r w:rsidRPr="008171E3">
        <w:rPr>
          <w:noProof/>
        </w:rPr>
        <w:sym w:font="Symbol" w:char="F0B4"/>
      </w:r>
      <w:r w:rsidRPr="008171E3">
        <w:rPr>
          <w:noProof/>
        </w:rPr>
        <w:t>(12-n)/12</w:t>
      </w:r>
      <w:r w:rsidRPr="008171E3">
        <w:rPr>
          <w:noProof/>
        </w:rPr>
        <w:sym w:font="Symbol" w:char="F0B4"/>
      </w:r>
      <w:r w:rsidR="00FB6494" w:rsidRPr="008171E3">
        <w:rPr>
          <w:noProof/>
        </w:rPr>
        <w:t xml:space="preserve"> b</w:t>
      </w:r>
      <w:r w:rsidR="00FB6494" w:rsidRPr="008171E3">
        <w:rPr>
          <w:noProof/>
          <w:vertAlign w:val="subscript"/>
        </w:rPr>
        <w:t>1</w:t>
      </w:r>
      <w:r w:rsidRPr="008171E3">
        <w:rPr>
          <w:noProof/>
        </w:rPr>
        <w:t>, avec P</w:t>
      </w:r>
      <w:r w:rsidRPr="008171E3">
        <w:rPr>
          <w:noProof/>
          <w:vertAlign w:val="subscript"/>
        </w:rPr>
        <w:t>souscrite pondérée 2</w:t>
      </w:r>
      <w:r w:rsidRPr="008171E3">
        <w:rPr>
          <w:noProof/>
        </w:rPr>
        <w:t xml:space="preserve"> la puissance souscrite </w:t>
      </w:r>
      <w:r w:rsidR="00340999" w:rsidRPr="008171E3">
        <w:rPr>
          <w:noProof/>
        </w:rPr>
        <w:t>Pondérée</w:t>
      </w:r>
      <w:r w:rsidRPr="008171E3">
        <w:rPr>
          <w:noProof/>
        </w:rPr>
        <w:t xml:space="preserve"> lors de la dernière augmentation de puissance, n la durée de la soucription de cette puissance, </w:t>
      </w:r>
      <w:proofErr w:type="spellStart"/>
      <w:r w:rsidRPr="008171E3">
        <w:t>P</w:t>
      </w:r>
      <w:r w:rsidRPr="008171E3">
        <w:rPr>
          <w:vertAlign w:val="subscript"/>
        </w:rPr>
        <w:t>souscrite</w:t>
      </w:r>
      <w:proofErr w:type="spellEnd"/>
      <w:r w:rsidRPr="008171E3">
        <w:rPr>
          <w:vertAlign w:val="subscript"/>
        </w:rPr>
        <w:t xml:space="preserve"> pondérée 3</w:t>
      </w:r>
      <w:r w:rsidRPr="008171E3">
        <w:t xml:space="preserve"> la puissance souscrite </w:t>
      </w:r>
      <w:r w:rsidR="00340999" w:rsidRPr="008171E3">
        <w:t>Pondérée</w:t>
      </w:r>
      <w:r w:rsidRPr="008171E3">
        <w:t xml:space="preserve"> après la diminution de puissance et </w:t>
      </w:r>
      <w:r w:rsidR="00FB6494" w:rsidRPr="008171E3">
        <w:rPr>
          <w:noProof/>
        </w:rPr>
        <w:t>b</w:t>
      </w:r>
      <w:r w:rsidR="00FB6494" w:rsidRPr="008171E3">
        <w:rPr>
          <w:noProof/>
          <w:vertAlign w:val="subscript"/>
        </w:rPr>
        <w:t>1</w:t>
      </w:r>
      <w:r w:rsidRPr="008171E3">
        <w:t xml:space="preserve"> défini par le TURPE.</w:t>
      </w:r>
    </w:p>
    <w:p w14:paraId="06607698" w14:textId="0A832C82" w:rsidR="00F97290" w:rsidRPr="008171E3" w:rsidRDefault="00F97290" w:rsidP="000C0CCD">
      <w:pPr>
        <w:pStyle w:val="Titre3"/>
      </w:pPr>
      <w:bookmarkStart w:id="211" w:name="_Hlt15882454"/>
      <w:bookmarkStart w:id="212" w:name="_Hlt16933072"/>
      <w:bookmarkStart w:id="213" w:name="_Toc21422448"/>
      <w:bookmarkStart w:id="214" w:name="_Ref529679618"/>
      <w:bookmarkStart w:id="215" w:name="_Ref529679942"/>
      <w:bookmarkStart w:id="216" w:name="_Ref529680065"/>
      <w:bookmarkStart w:id="217" w:name="_Ref529696559"/>
      <w:bookmarkStart w:id="218" w:name="_Ref12847206"/>
      <w:bookmarkEnd w:id="211"/>
      <w:bookmarkEnd w:id="212"/>
      <w:r w:rsidRPr="008171E3">
        <w:t>Diminution et augmentation simultanées de Puissances Souscrites</w:t>
      </w:r>
      <w:bookmarkEnd w:id="213"/>
    </w:p>
    <w:p w14:paraId="3DB25998" w14:textId="5E5CBB1D" w:rsidR="00F97290" w:rsidRPr="008171E3" w:rsidRDefault="00F97290" w:rsidP="009C3752">
      <w:r w:rsidRPr="008171E3">
        <w:t xml:space="preserve">Le Fournisseur peut augmenter la Puissance Souscrite pendant certaines </w:t>
      </w:r>
      <w:r w:rsidR="00A67B2F" w:rsidRPr="008171E3">
        <w:t>Plage</w:t>
      </w:r>
      <w:r w:rsidRPr="008171E3">
        <w:t>s Temporelles et la diminuer pendant d’autres en cours d’exécution du Contrat Unique concerné, à la même date d’effet, sous réserve :</w:t>
      </w:r>
    </w:p>
    <w:p w14:paraId="7E23F4C8" w14:textId="77777777" w:rsidR="00F97290" w:rsidRPr="008171E3" w:rsidRDefault="00710023" w:rsidP="00F97290">
      <w:pPr>
        <w:pStyle w:val="SPuce"/>
      </w:pPr>
      <w:proofErr w:type="gramStart"/>
      <w:r w:rsidRPr="008171E3">
        <w:t>du</w:t>
      </w:r>
      <w:proofErr w:type="gramEnd"/>
      <w:r w:rsidRPr="008171E3">
        <w:t xml:space="preserve"> respect des dispositions du c</w:t>
      </w:r>
      <w:r w:rsidR="00F97290" w:rsidRPr="008171E3">
        <w:t>hapitre 2 des présentes dispositions générales ;</w:t>
      </w:r>
    </w:p>
    <w:p w14:paraId="44729152" w14:textId="77777777" w:rsidR="00F97290" w:rsidRPr="008171E3" w:rsidRDefault="00F97290" w:rsidP="00F97290">
      <w:pPr>
        <w:pStyle w:val="SPuce"/>
      </w:pPr>
      <w:proofErr w:type="gramStart"/>
      <w:r w:rsidRPr="008171E3">
        <w:t>du</w:t>
      </w:r>
      <w:proofErr w:type="gramEnd"/>
      <w:r w:rsidRPr="008171E3">
        <w:t xml:space="preserve"> respect des modalités exposées à l’article </w:t>
      </w:r>
      <w:r w:rsidR="00983D6B" w:rsidRPr="008171E3">
        <w:fldChar w:fldCharType="begin"/>
      </w:r>
      <w:r w:rsidR="00983D6B" w:rsidRPr="008171E3">
        <w:instrText xml:space="preserve"> REF _Ref15383242 \r \h  \* MERGEFORMAT </w:instrText>
      </w:r>
      <w:r w:rsidR="00983D6B" w:rsidRPr="008171E3">
        <w:fldChar w:fldCharType="separate"/>
      </w:r>
      <w:r w:rsidR="005E7E99" w:rsidRPr="008171E3">
        <w:t>4.5</w:t>
      </w:r>
      <w:r w:rsidR="00983D6B" w:rsidRPr="008171E3">
        <w:fldChar w:fldCharType="end"/>
      </w:r>
      <w:r w:rsidRPr="008171E3">
        <w:t xml:space="preserve"> des présentes dispositions générales ;</w:t>
      </w:r>
    </w:p>
    <w:p w14:paraId="7A3DC995" w14:textId="77777777" w:rsidR="00F97290" w:rsidRPr="008171E3" w:rsidRDefault="00F97290" w:rsidP="00F97290">
      <w:pPr>
        <w:pStyle w:val="SPuce"/>
      </w:pPr>
      <w:proofErr w:type="gramStart"/>
      <w:r w:rsidRPr="008171E3">
        <w:t>et</w:t>
      </w:r>
      <w:proofErr w:type="gramEnd"/>
      <w:r w:rsidRPr="008171E3">
        <w:t xml:space="preserve"> du respect de l’inégalité P</w:t>
      </w:r>
      <w:r w:rsidRPr="008171E3">
        <w:rPr>
          <w:vertAlign w:val="subscript"/>
        </w:rPr>
        <w:t>i+1</w:t>
      </w:r>
      <w:r w:rsidRPr="008171E3">
        <w:t xml:space="preserve"> </w:t>
      </w:r>
      <w:r w:rsidRPr="008171E3">
        <w:sym w:font="Symbol" w:char="F0B3"/>
      </w:r>
      <w:r w:rsidRPr="008171E3">
        <w:t xml:space="preserve"> P</w:t>
      </w:r>
      <w:r w:rsidRPr="008171E3">
        <w:rPr>
          <w:vertAlign w:val="subscript"/>
        </w:rPr>
        <w:t>i</w:t>
      </w:r>
      <w:r w:rsidRPr="008171E3">
        <w:t>, conformément au TURPE.</w:t>
      </w:r>
    </w:p>
    <w:p w14:paraId="2F6B4E51" w14:textId="268341BF" w:rsidR="00F97290" w:rsidRPr="008171E3" w:rsidRDefault="00F97290" w:rsidP="009C3752">
      <w:r w:rsidRPr="008171E3">
        <w:t xml:space="preserve">Ces conditions sont cumulatives et le non-respect de l'une ou de plusieurs d'entre-elles entraîne le refus </w:t>
      </w:r>
      <w:r w:rsidR="0076712A" w:rsidRPr="008171E3">
        <w:t>du GRD</w:t>
      </w:r>
      <w:r w:rsidRPr="008171E3">
        <w:t xml:space="preserve"> de faire droit à la demande de modification.</w:t>
      </w:r>
    </w:p>
    <w:p w14:paraId="42A85690" w14:textId="033528BB" w:rsidR="00F97290" w:rsidRPr="00FA158B" w:rsidRDefault="00F97290" w:rsidP="009C3752">
      <w:r w:rsidRPr="008171E3">
        <w:t xml:space="preserve">Ces diminution et augmentation simultanées entraînent l’application cumulée des modalités des articles </w:t>
      </w:r>
      <w:r w:rsidR="00320193" w:rsidRPr="008171E3">
        <w:fldChar w:fldCharType="begin"/>
      </w:r>
      <w:r w:rsidR="00F67390" w:rsidRPr="008171E3">
        <w:instrText xml:space="preserve"> REF _Ref484524830 \r \h </w:instrText>
      </w:r>
      <w:r w:rsidR="00FA158B" w:rsidRPr="008171E3">
        <w:instrText xml:space="preserve"> \* MERGEFORMAT </w:instrText>
      </w:r>
      <w:r w:rsidR="00320193" w:rsidRPr="008171E3">
        <w:fldChar w:fldCharType="separate"/>
      </w:r>
      <w:r w:rsidR="005E7E99" w:rsidRPr="008171E3">
        <w:t>4.4.2</w:t>
      </w:r>
      <w:r w:rsidR="00320193" w:rsidRPr="008171E3">
        <w:fldChar w:fldCharType="end"/>
      </w:r>
      <w:r w:rsidRPr="008171E3">
        <w:t xml:space="preserve"> et </w:t>
      </w:r>
      <w:r w:rsidR="00320193" w:rsidRPr="008171E3">
        <w:fldChar w:fldCharType="begin"/>
      </w:r>
      <w:r w:rsidR="00F67390" w:rsidRPr="008171E3">
        <w:instrText xml:space="preserve"> REF _Ref484524845 \r \h </w:instrText>
      </w:r>
      <w:r w:rsidR="00FA158B" w:rsidRPr="008171E3">
        <w:instrText xml:space="preserve"> \* MERGEFORMAT </w:instrText>
      </w:r>
      <w:r w:rsidR="00320193" w:rsidRPr="008171E3">
        <w:fldChar w:fldCharType="separate"/>
      </w:r>
      <w:r w:rsidR="005E7E99" w:rsidRPr="008171E3">
        <w:t>4.4.3</w:t>
      </w:r>
      <w:r w:rsidR="00320193" w:rsidRPr="008171E3">
        <w:fldChar w:fldCharType="end"/>
      </w:r>
      <w:r w:rsidRPr="008171E3">
        <w:t xml:space="preserve"> des présentes dispositions générales.</w:t>
      </w:r>
    </w:p>
    <w:p w14:paraId="4F0DA3AF" w14:textId="77777777" w:rsidR="00F97290" w:rsidRPr="00FA158B" w:rsidRDefault="00F97290" w:rsidP="009C3752">
      <w:pPr>
        <w:pStyle w:val="Titre2"/>
      </w:pPr>
      <w:bookmarkStart w:id="219" w:name="_Ref15383242"/>
      <w:bookmarkStart w:id="220" w:name="_Toc53227750"/>
      <w:bookmarkStart w:id="221" w:name="_Toc54021255"/>
      <w:bookmarkStart w:id="222" w:name="_Toc54179625"/>
      <w:bookmarkStart w:id="223" w:name="_Toc472522889"/>
      <w:bookmarkStart w:id="224" w:name="_Toc21422449"/>
      <w:r w:rsidRPr="00FA158B">
        <w:t>Modalités de modification de la</w:t>
      </w:r>
      <w:r w:rsidR="00710023" w:rsidRPr="00FA158B">
        <w:t>(des) P</w:t>
      </w:r>
      <w:r w:rsidRPr="00FA158B">
        <w:t>uissance</w:t>
      </w:r>
      <w:r w:rsidR="00710023" w:rsidRPr="00FA158B">
        <w:t>(s) S</w:t>
      </w:r>
      <w:r w:rsidRPr="00FA158B">
        <w:t>ouscrite</w:t>
      </w:r>
      <w:bookmarkEnd w:id="206"/>
      <w:bookmarkEnd w:id="207"/>
      <w:bookmarkEnd w:id="208"/>
      <w:bookmarkEnd w:id="214"/>
      <w:bookmarkEnd w:id="215"/>
      <w:bookmarkEnd w:id="216"/>
      <w:bookmarkEnd w:id="217"/>
      <w:bookmarkEnd w:id="218"/>
      <w:bookmarkEnd w:id="219"/>
      <w:bookmarkEnd w:id="220"/>
      <w:bookmarkEnd w:id="221"/>
      <w:bookmarkEnd w:id="222"/>
      <w:bookmarkEnd w:id="223"/>
      <w:r w:rsidR="00710023" w:rsidRPr="00FA158B">
        <w:t>(s)</w:t>
      </w:r>
      <w:bookmarkEnd w:id="224"/>
    </w:p>
    <w:p w14:paraId="594D5474" w14:textId="147DF9AE" w:rsidR="00F97290" w:rsidRPr="00FA158B" w:rsidRDefault="00F97290" w:rsidP="009C3752">
      <w:r w:rsidRPr="00FA158B">
        <w:t xml:space="preserve">Pour toute modification de Puissance(s) Souscrite(s) demandée dans les conditions du présent chapitre, le Fournisseur doit adresser une demande </w:t>
      </w:r>
      <w:r w:rsidR="00C245CE">
        <w:t>au GRD</w:t>
      </w:r>
      <w:r w:rsidRPr="00FA158B">
        <w:t>, par formulaire sur la Plate-forme d'échanges</w:t>
      </w:r>
      <w:r w:rsidR="00C245CE">
        <w:rPr>
          <w:b/>
          <w:color w:val="FF0000"/>
        </w:rPr>
        <w:t xml:space="preserve"> </w:t>
      </w:r>
      <w:r w:rsidR="00C245CE" w:rsidRPr="007C6D16">
        <w:t>du GRD</w:t>
      </w:r>
      <w:r w:rsidRPr="00FA158B">
        <w:t xml:space="preserve">. </w:t>
      </w:r>
    </w:p>
    <w:p w14:paraId="06ADC4DB" w14:textId="3FE05204" w:rsidR="00F97290" w:rsidRPr="00FA158B" w:rsidRDefault="00F97290" w:rsidP="0005723B">
      <w:pPr>
        <w:pStyle w:val="SPuce"/>
      </w:pPr>
      <w:r w:rsidRPr="00FA158B">
        <w:t xml:space="preserve">Si la modification ne nécessite pas d’intervention sur place, elle est effectuée suivant les délais du Catalogue des prestations </w:t>
      </w:r>
      <w:r w:rsidR="00C245CE">
        <w:t>du GRD</w:t>
      </w:r>
      <w:r w:rsidRPr="00FA158B">
        <w:t>.</w:t>
      </w:r>
    </w:p>
    <w:p w14:paraId="5365A973" w14:textId="5F3B9D7A" w:rsidR="00F97290" w:rsidRPr="00FA158B" w:rsidRDefault="00F97290" w:rsidP="0005723B">
      <w:pPr>
        <w:pStyle w:val="SPuce"/>
      </w:pPr>
      <w:r w:rsidRPr="00FA158B">
        <w:t xml:space="preserve">Si la modification nécessite une intervention simple sur place, en particulier si elle n’implique pas d’intervention technique dans la partie privée des ouvrages de raccordement, elle est effectuée suivant les délais du </w:t>
      </w:r>
      <w:r w:rsidR="00C245CE">
        <w:t>C</w:t>
      </w:r>
      <w:r w:rsidRPr="00FA158B">
        <w:t xml:space="preserve">atalogue des prestations </w:t>
      </w:r>
      <w:r w:rsidR="00C245CE">
        <w:t>du GRD</w:t>
      </w:r>
      <w:r w:rsidRPr="00FA158B">
        <w:t>.</w:t>
      </w:r>
    </w:p>
    <w:p w14:paraId="7E227AD6" w14:textId="61DD734F" w:rsidR="00F97290" w:rsidRPr="00FA158B" w:rsidRDefault="00F97290" w:rsidP="0005723B">
      <w:pPr>
        <w:pStyle w:val="SPuce"/>
      </w:pPr>
      <w:r w:rsidRPr="00FA158B">
        <w:t xml:space="preserve">Si la modification nécessite une intervention plus lourde (notamment un changement de transformateurs de courant ou de tension, une modification de couplage, un changement de compteur), un contact avec l’interlocuteur technique </w:t>
      </w:r>
      <w:r w:rsidRPr="00FA158B">
        <w:lastRenderedPageBreak/>
        <w:t>du Client est nécessaire pour programmer l’intervention. La modification de(s) Puissance(s) Souscrite(s) prend effet dès que l’intervention technique nécessaire est réalisée suivant les délais du Catalogue des prestations.</w:t>
      </w:r>
    </w:p>
    <w:p w14:paraId="0BCF70B0" w14:textId="7BBBFDF4" w:rsidR="00F97290" w:rsidRPr="008171E3" w:rsidRDefault="00F97290" w:rsidP="0005723B">
      <w:pPr>
        <w:pStyle w:val="SPuce"/>
      </w:pPr>
      <w:r w:rsidRPr="008171E3">
        <w:t xml:space="preserve">Si la (les) puissance(s) souscrite(s) demandée(s) dépasse(nt) la capacité des ouvrages existants, le Fournisseur en est avisé sous </w:t>
      </w:r>
      <w:r w:rsidR="004C0B42" w:rsidRPr="008171E3">
        <w:t>1</w:t>
      </w:r>
      <w:r w:rsidR="002E0F8A" w:rsidRPr="008171E3">
        <w:t>0</w:t>
      </w:r>
      <w:r w:rsidRPr="008171E3">
        <w:t xml:space="preserve"> jours ouvrés et reçoit une proposition technique et financière à valider. La date d’effet de la modification de(s) puissance(s) prendra en considération la durée d’exécution des travaux nécessaires.</w:t>
      </w:r>
    </w:p>
    <w:p w14:paraId="3022B6AD" w14:textId="03A38D5A" w:rsidR="00F97290" w:rsidRPr="00FA158B" w:rsidRDefault="00F97290" w:rsidP="009C3752">
      <w:r w:rsidRPr="00FA158B">
        <w:t xml:space="preserve">La modification </w:t>
      </w:r>
      <w:r w:rsidR="00710023" w:rsidRPr="00FA158B">
        <w:t>de la</w:t>
      </w:r>
      <w:r w:rsidR="00B963B3" w:rsidRPr="00FA158B">
        <w:t xml:space="preserve"> </w:t>
      </w:r>
      <w:r w:rsidR="00710023" w:rsidRPr="00FA158B">
        <w:t xml:space="preserve">(des) Puissance(s) Souscrite(s) </w:t>
      </w:r>
      <w:r w:rsidRPr="00FA158B">
        <w:t xml:space="preserve">prend effet dans les conditions prévues au Catalogue des prestations et dans les </w:t>
      </w:r>
      <w:r w:rsidR="00C245CE">
        <w:t>R</w:t>
      </w:r>
      <w:r w:rsidRPr="00FA158B">
        <w:t xml:space="preserve">éférentiels </w:t>
      </w:r>
      <w:r w:rsidR="00C245CE">
        <w:t>du GRD</w:t>
      </w:r>
      <w:r w:rsidRPr="00FA158B">
        <w:t xml:space="preserve">. </w:t>
      </w:r>
    </w:p>
    <w:p w14:paraId="3EC6E12A" w14:textId="77777777" w:rsidR="00F97290" w:rsidRPr="00FA158B" w:rsidRDefault="00F97290" w:rsidP="00DC643C">
      <w:pPr>
        <w:pStyle w:val="Titre1"/>
      </w:pPr>
      <w:bookmarkStart w:id="225" w:name="_Toc472522890"/>
      <w:bookmarkStart w:id="226" w:name="_Toc21422450"/>
      <w:bookmarkStart w:id="227" w:name="_Ref53225394"/>
      <w:bookmarkEnd w:id="10"/>
      <w:bookmarkEnd w:id="11"/>
      <w:bookmarkEnd w:id="12"/>
      <w:bookmarkEnd w:id="13"/>
      <w:bookmarkEnd w:id="14"/>
      <w:bookmarkEnd w:id="15"/>
      <w:bookmarkEnd w:id="16"/>
      <w:bookmarkEnd w:id="17"/>
      <w:bookmarkEnd w:id="18"/>
      <w:bookmarkEnd w:id="19"/>
      <w:r w:rsidRPr="00FA158B">
        <w:t>Continuité et qualité</w:t>
      </w:r>
      <w:bookmarkEnd w:id="225"/>
      <w:bookmarkEnd w:id="226"/>
      <w:r w:rsidRPr="00FA158B">
        <w:t xml:space="preserve"> </w:t>
      </w:r>
      <w:bookmarkEnd w:id="227"/>
    </w:p>
    <w:p w14:paraId="6EB8EBAF" w14:textId="78318944" w:rsidR="00F97290" w:rsidRPr="00FA158B" w:rsidRDefault="00F97290" w:rsidP="009C3752">
      <w:pPr>
        <w:pStyle w:val="Titre2"/>
      </w:pPr>
      <w:bookmarkStart w:id="228" w:name="_Toc472522891"/>
      <w:bookmarkStart w:id="229" w:name="_Toc21422451"/>
      <w:bookmarkStart w:id="230" w:name="_Toc52012176"/>
      <w:bookmarkStart w:id="231" w:name="_Ref15878567"/>
      <w:bookmarkStart w:id="232" w:name="_Toc53829206"/>
      <w:bookmarkStart w:id="233" w:name="_Ref40840394"/>
      <w:bookmarkStart w:id="234" w:name="_Ref535921021"/>
      <w:bookmarkStart w:id="235" w:name="_Toc17010060"/>
      <w:bookmarkStart w:id="236" w:name="_Toc33439705"/>
      <w:bookmarkStart w:id="237" w:name="_Toc33610790"/>
      <w:bookmarkStart w:id="238" w:name="_Toc510956058"/>
      <w:bookmarkStart w:id="239" w:name="_Toc513617451"/>
      <w:bookmarkStart w:id="240" w:name="_Toc520252347"/>
      <w:bookmarkStart w:id="241" w:name="_Toc520260081"/>
      <w:bookmarkStart w:id="242" w:name="_Toc527350874"/>
      <w:r w:rsidRPr="00FA158B">
        <w:t xml:space="preserve">Engagements </w:t>
      </w:r>
      <w:bookmarkEnd w:id="228"/>
      <w:r w:rsidR="00C245CE">
        <w:t>du GRD</w:t>
      </w:r>
      <w:bookmarkEnd w:id="229"/>
    </w:p>
    <w:p w14:paraId="47369A33" w14:textId="29C0E1F4" w:rsidR="00F97290" w:rsidRPr="00FA158B" w:rsidRDefault="00F97290" w:rsidP="009C3752">
      <w:r w:rsidRPr="00FA158B">
        <w:t xml:space="preserve">Les prestations </w:t>
      </w:r>
      <w:r w:rsidR="0076712A">
        <w:t>du GRD</w:t>
      </w:r>
      <w:r w:rsidRPr="00FA158B">
        <w:t xml:space="preserve"> relatives à la continuité et à la qualité de l'onde électrique sont réalisées et facturées selon les modalités définies dans les </w:t>
      </w:r>
      <w:r w:rsidR="00C245CE">
        <w:t>R</w:t>
      </w:r>
      <w:r w:rsidRPr="00FA158B">
        <w:t xml:space="preserve">éférentiels </w:t>
      </w:r>
      <w:r w:rsidR="00C245CE">
        <w:t>du GRD</w:t>
      </w:r>
      <w:r w:rsidR="00C245CE" w:rsidRPr="00FA158B">
        <w:rPr>
          <w:color w:val="auto"/>
        </w:rPr>
        <w:t xml:space="preserve"> </w:t>
      </w:r>
      <w:r w:rsidRPr="00FA158B">
        <w:t>et dans son Catalogue des prestations.</w:t>
      </w:r>
    </w:p>
    <w:p w14:paraId="14C679A9" w14:textId="67A92215" w:rsidR="00F97290" w:rsidRPr="00FA158B" w:rsidRDefault="00F97290" w:rsidP="009C3752">
      <w:r w:rsidRPr="00FA158B">
        <w:t xml:space="preserve">L'ensemble des engagements </w:t>
      </w:r>
      <w:r w:rsidR="0076712A">
        <w:t>du GRD</w:t>
      </w:r>
      <w:r w:rsidRPr="00FA158B">
        <w:t xml:space="preserve"> en matière de continuité et qualité sont pris au Point de Livraison.</w:t>
      </w:r>
    </w:p>
    <w:p w14:paraId="1D3607C9" w14:textId="5E8D74AA" w:rsidR="00F97290" w:rsidRPr="00FA158B" w:rsidRDefault="00F97290" w:rsidP="009C3752">
      <w:r w:rsidRPr="00FA158B">
        <w:t xml:space="preserve">La mise à disposition d’Alimentation(s) de Secours, comme celle de Disjoncteurs haute sensibilité, n’entre pas dans les obligations </w:t>
      </w:r>
      <w:r w:rsidR="0076712A">
        <w:t>du GRD</w:t>
      </w:r>
      <w:r w:rsidRPr="00FA158B">
        <w:t xml:space="preserve">. </w:t>
      </w:r>
    </w:p>
    <w:p w14:paraId="3CD5771F" w14:textId="73C19351" w:rsidR="00F97290" w:rsidRPr="00FA158B" w:rsidRDefault="00F97290" w:rsidP="000C0CCD">
      <w:pPr>
        <w:pStyle w:val="Titre3"/>
      </w:pPr>
      <w:bookmarkStart w:id="243" w:name="_Toc21422452"/>
      <w:bookmarkEnd w:id="230"/>
      <w:bookmarkEnd w:id="231"/>
      <w:bookmarkEnd w:id="232"/>
      <w:r w:rsidRPr="00FA158B">
        <w:t xml:space="preserve">Engagements </w:t>
      </w:r>
      <w:r w:rsidR="0076712A">
        <w:t>du GRD</w:t>
      </w:r>
      <w:r w:rsidRPr="00FA158B">
        <w:t xml:space="preserve"> sur la continuité dans le cadre des travaux sur le Réseau Public de Distribution</w:t>
      </w:r>
      <w:bookmarkEnd w:id="243"/>
    </w:p>
    <w:p w14:paraId="6447B694" w14:textId="27F3748D" w:rsidR="00F97290" w:rsidRPr="00FA158B" w:rsidRDefault="00C245CE" w:rsidP="009C3752">
      <w:r>
        <w:t>Le GRD</w:t>
      </w:r>
      <w:r w:rsidRPr="00FA158B">
        <w:t xml:space="preserve"> </w:t>
      </w:r>
      <w:r w:rsidR="00F97290" w:rsidRPr="00FA158B">
        <w:t xml:space="preserve">peut, lorsque des contraintes techniques l'imposent, réaliser des travaux pour le développement, le renouvellement, l’exploitation, l’entretien, la sécurité et les réparations urgentes que requiert le Réseau ; ces travaux peuvent conduire à une Coupure. </w:t>
      </w:r>
      <w:r w:rsidR="0076712A">
        <w:t>Le GRD</w:t>
      </w:r>
      <w:r w:rsidR="00F97290" w:rsidRPr="00FA158B">
        <w:t xml:space="preserve"> fait ses meilleurs efforts afin de limiter la durée des Coupures et de les programmer, dans la mesure du possible, aux dates et heures susceptibles de causer le moins de gêne au Client.</w:t>
      </w:r>
    </w:p>
    <w:p w14:paraId="2E342F32" w14:textId="77777777" w:rsidR="00F97290" w:rsidRPr="00FA158B" w:rsidRDefault="00F97290" w:rsidP="000C0CCD">
      <w:pPr>
        <w:pStyle w:val="Titre4"/>
      </w:pPr>
      <w:bookmarkStart w:id="244" w:name="_Ref143933141"/>
      <w:r w:rsidRPr="00FA158B">
        <w:t>Engagement sur le nombre de Coupures</w:t>
      </w:r>
      <w:bookmarkEnd w:id="244"/>
    </w:p>
    <w:p w14:paraId="23036C6E" w14:textId="247CC823" w:rsidR="00F97290" w:rsidRPr="00FA158B" w:rsidRDefault="0076712A" w:rsidP="009C3752">
      <w:r>
        <w:t>L</w:t>
      </w:r>
      <w:r w:rsidR="00C245CE">
        <w:t>e GRD</w:t>
      </w:r>
      <w:r w:rsidR="00C245CE" w:rsidRPr="00FA158B">
        <w:t xml:space="preserve"> </w:t>
      </w:r>
      <w:r w:rsidR="00F97290" w:rsidRPr="00FA158B">
        <w:t xml:space="preserve">s’engage à ne pas causer plus de deux Coupures par année civile lors de la réalisation des travaux </w:t>
      </w:r>
      <w:proofErr w:type="spellStart"/>
      <w:r w:rsidR="00F97290" w:rsidRPr="00FA158B">
        <w:t>sus-mentionnés</w:t>
      </w:r>
      <w:proofErr w:type="spellEnd"/>
      <w:r w:rsidR="00F97290" w:rsidRPr="00FA158B">
        <w:t xml:space="preserve">, et à ce que la durée de chaque Coupure soit inférieure à quatre heures. Tout dépassement de ces engagements ou du nombre de Coupures engage la responsabilité </w:t>
      </w:r>
      <w:r w:rsidR="00C245CE">
        <w:t>du GRD</w:t>
      </w:r>
      <w:r w:rsidR="00C245CE" w:rsidRPr="00FA158B">
        <w:t xml:space="preserve"> </w:t>
      </w:r>
      <w:r w:rsidR="00F97290" w:rsidRPr="00FA158B">
        <w:t xml:space="preserve">dans les conditions de l'article </w:t>
      </w:r>
      <w:r w:rsidR="00983D6B" w:rsidRPr="00FA158B">
        <w:fldChar w:fldCharType="begin"/>
      </w:r>
      <w:r w:rsidR="00983D6B" w:rsidRPr="00FA158B">
        <w:instrText xml:space="preserve"> REF _Ref143924454 \r \h  \* MERGEFORMAT </w:instrText>
      </w:r>
      <w:r w:rsidR="00983D6B" w:rsidRPr="00FA158B">
        <w:fldChar w:fldCharType="separate"/>
      </w:r>
      <w:r w:rsidR="005E7E99">
        <w:t>9.1.1</w:t>
      </w:r>
      <w:r w:rsidR="00983D6B" w:rsidRPr="00FA158B">
        <w:fldChar w:fldCharType="end"/>
      </w:r>
      <w:r w:rsidR="00F97290" w:rsidRPr="00FA158B">
        <w:t xml:space="preserve"> des présentes dispositions générales d’accès au Réseau Public de Distribution.</w:t>
      </w:r>
    </w:p>
    <w:p w14:paraId="55637494" w14:textId="77777777" w:rsidR="00F97290" w:rsidRPr="00FA158B" w:rsidRDefault="00F97290" w:rsidP="000C0CCD">
      <w:pPr>
        <w:pStyle w:val="Titre4"/>
      </w:pPr>
      <w:r w:rsidRPr="00FA158B">
        <w:t>Prise en compte des besoins du Client</w:t>
      </w:r>
    </w:p>
    <w:p w14:paraId="637C2994" w14:textId="77777777" w:rsidR="00F97290" w:rsidRPr="008171E3" w:rsidRDefault="00F97290" w:rsidP="000C0CCD">
      <w:pPr>
        <w:pStyle w:val="Titre5"/>
      </w:pPr>
      <w:r w:rsidRPr="008171E3">
        <w:t xml:space="preserve">Travaux ne présentant pas un caractère d'urgence </w:t>
      </w:r>
    </w:p>
    <w:p w14:paraId="2D540E79" w14:textId="6F717053" w:rsidR="00F97290" w:rsidRPr="00FA158B" w:rsidRDefault="00F97290" w:rsidP="009C3752">
      <w:r w:rsidRPr="008171E3">
        <w:t xml:space="preserve">Pour les travaux ne présentant pas un caractère d'urgence, </w:t>
      </w:r>
      <w:r w:rsidR="00C245CE" w:rsidRPr="008171E3">
        <w:t xml:space="preserve">le GRD </w:t>
      </w:r>
      <w:r w:rsidRPr="008171E3">
        <w:t xml:space="preserve">prend contact avec le Client afin de déterminer d’un commun accord la date de réalisation des travaux. </w:t>
      </w:r>
      <w:r w:rsidR="00C245CE" w:rsidRPr="008171E3">
        <w:t xml:space="preserve">Le GRD </w:t>
      </w:r>
      <w:r w:rsidRPr="008171E3">
        <w:t>informe le Client par lettre</w:t>
      </w:r>
      <w:r w:rsidR="004C0B42" w:rsidRPr="008171E3">
        <w:t xml:space="preserve"> ou courrier électronique</w:t>
      </w:r>
      <w:r w:rsidRPr="008171E3">
        <w:t>, avec copie au Fournisseur, de la date, de l'heure</w:t>
      </w:r>
      <w:r w:rsidR="004C0B42" w:rsidRPr="008171E3">
        <w:rPr>
          <w:color w:val="FF0000"/>
        </w:rPr>
        <w:t xml:space="preserve"> </w:t>
      </w:r>
      <w:r w:rsidRPr="008171E3">
        <w:t>et de la durée des travaux et de la durée de la Coupure qui s’ensuit, a minima dix jours ouvrés avant la date de réalisation effective des travaux.</w:t>
      </w:r>
    </w:p>
    <w:p w14:paraId="0CBC0D87" w14:textId="5575EEDA" w:rsidR="00F97290" w:rsidRPr="00FA158B" w:rsidRDefault="00F97290" w:rsidP="009C3752">
      <w:r w:rsidRPr="00FA158B">
        <w:t xml:space="preserve">A la demande du Client ou de son Fournisseur, </w:t>
      </w:r>
      <w:r w:rsidR="00C245CE">
        <w:t>le GRD</w:t>
      </w:r>
      <w:r w:rsidR="00C245CE" w:rsidRPr="00FA158B">
        <w:t xml:space="preserve"> </w:t>
      </w:r>
      <w:r w:rsidRPr="00FA158B">
        <w:t xml:space="preserve">peut mettre en œuvre des moyens spéciaux (par exemple : câbles secs, travaux sous tension, groupes électrogènes) visant à limiter la durée ou à supprimer la Coupure. </w:t>
      </w:r>
      <w:r w:rsidR="00D329A2">
        <w:t>L</w:t>
      </w:r>
      <w:r w:rsidR="00C245CE">
        <w:t>e GRD</w:t>
      </w:r>
      <w:r w:rsidR="00C245CE" w:rsidRPr="00FA158B">
        <w:t xml:space="preserve"> </w:t>
      </w:r>
      <w:r w:rsidRPr="00FA158B">
        <w:t xml:space="preserve">peut aussi intervenir en dehors des jours ouvrés ou de nuit. Dans ce cas, tous les surcoûts qui peuvent résulter de la demande sont facturés. Préalablement à la réalisation des travaux dans les conditions susmentionnées, ces derniers font l'objet d'une proposition technique et financière adressée au Fournisseur par </w:t>
      </w:r>
      <w:r w:rsidR="00C245CE">
        <w:t>le GRD</w:t>
      </w:r>
      <w:r w:rsidRPr="00FA158B">
        <w:t xml:space="preserve">, par lettre recommandée avec demande d'avis de réception. Le Fournisseur approuve les conditions qui lui sont proposées en renvoyant </w:t>
      </w:r>
      <w:r w:rsidR="0076712A">
        <w:t>au GRD</w:t>
      </w:r>
      <w:r w:rsidRPr="00FA158B">
        <w:t xml:space="preserve"> un double de la proposition technique et financière, datée et signée par ses soins. A défaut d’accord, les travaux sont réalisés selon la programmation initiale </w:t>
      </w:r>
      <w:r w:rsidR="00C245CE">
        <w:t>du GRD</w:t>
      </w:r>
      <w:r w:rsidR="00C245CE" w:rsidRPr="00FA158B">
        <w:t xml:space="preserve"> </w:t>
      </w:r>
      <w:r w:rsidRPr="00FA158B">
        <w:t>sans prise en compte de la demande.</w:t>
      </w:r>
    </w:p>
    <w:p w14:paraId="255FB828" w14:textId="77777777" w:rsidR="00F97290" w:rsidRPr="00FA158B" w:rsidRDefault="00F97290" w:rsidP="000C0CCD">
      <w:pPr>
        <w:pStyle w:val="Titre5"/>
      </w:pPr>
      <w:r w:rsidRPr="00FA158B">
        <w:t>Travaux présentant un caractère d’urgence</w:t>
      </w:r>
    </w:p>
    <w:p w14:paraId="64288E47" w14:textId="41BDE1FA" w:rsidR="00F97290" w:rsidRPr="00FA158B" w:rsidRDefault="00F97290" w:rsidP="009C3752">
      <w:r w:rsidRPr="00FA158B">
        <w:t xml:space="preserve">Pour les travaux présentant un caractère d’urgence, notamment en cas d'incident exigeant une réparation immédiate, </w:t>
      </w:r>
      <w:r w:rsidR="00C245CE">
        <w:t>le GRD</w:t>
      </w:r>
      <w:r w:rsidR="00C245CE" w:rsidRPr="00FA158B">
        <w:t xml:space="preserve"> </w:t>
      </w:r>
      <w:r w:rsidRPr="00FA158B">
        <w:t>prend immédiatement les mesures nécessaires et prévient par tout moyen, dans les meilleurs délais, le Client</w:t>
      </w:r>
      <w:r w:rsidR="000F3DDA">
        <w:t xml:space="preserve"> </w:t>
      </w:r>
      <w:r w:rsidR="000F3DDA" w:rsidRPr="00772398">
        <w:t xml:space="preserve">et le </w:t>
      </w:r>
      <w:r w:rsidR="003306EB" w:rsidRPr="00772398">
        <w:t>Fournisseur</w:t>
      </w:r>
      <w:bookmarkStart w:id="245" w:name="_GoBack"/>
      <w:bookmarkEnd w:id="245"/>
      <w:r w:rsidRPr="00FA158B">
        <w:t>, de la date, de l'heure et de la durée prévisible de la Coupure qui s’ensuit.</w:t>
      </w:r>
    </w:p>
    <w:p w14:paraId="02E71908" w14:textId="77777777" w:rsidR="00F97290" w:rsidRPr="00FA158B" w:rsidRDefault="00F97290" w:rsidP="000C0CCD">
      <w:pPr>
        <w:pStyle w:val="Titre4"/>
      </w:pPr>
      <w:r w:rsidRPr="00FA158B">
        <w:lastRenderedPageBreak/>
        <w:t>Comptabilisation du nombre et de la durée des Coupures</w:t>
      </w:r>
    </w:p>
    <w:p w14:paraId="76B7F635" w14:textId="77777777" w:rsidR="00F97290" w:rsidRPr="00FA158B" w:rsidRDefault="00F97290" w:rsidP="009C3752">
      <w:r w:rsidRPr="00FA158B">
        <w:t>Une seule Coupure est comptabilisée lorsque, pendant la durée annoncée des travaux, le Client a subi plusieurs Coupures suivies de remises sous tension provisoires. La durée de cette Coupure est égale à la somme des durées unitaires des Coupures, comptées à partir de la première jusqu’à la fin des travaux.</w:t>
      </w:r>
    </w:p>
    <w:p w14:paraId="0A6D5934" w14:textId="743AC453" w:rsidR="00F97290" w:rsidRPr="00FA158B" w:rsidRDefault="00F97290" w:rsidP="000C0CCD">
      <w:pPr>
        <w:pStyle w:val="Titre3"/>
      </w:pPr>
      <w:bookmarkStart w:id="246" w:name="_Toc21422453"/>
      <w:r w:rsidRPr="00FA158B">
        <w:t xml:space="preserve">Engagements </w:t>
      </w:r>
      <w:r w:rsidR="0076712A">
        <w:t>du GRD</w:t>
      </w:r>
      <w:r w:rsidR="002B3E0E">
        <w:t xml:space="preserve"> sur la </w:t>
      </w:r>
      <w:r w:rsidRPr="00FA158B">
        <w:t>continuité hors travaux</w:t>
      </w:r>
      <w:bookmarkEnd w:id="246"/>
      <w:r w:rsidRPr="00FA158B">
        <w:t xml:space="preserve"> </w:t>
      </w:r>
    </w:p>
    <w:p w14:paraId="2003D35E" w14:textId="77777777" w:rsidR="00F97290" w:rsidRPr="00FA158B" w:rsidRDefault="00F97290" w:rsidP="000C0CCD">
      <w:pPr>
        <w:pStyle w:val="Titre4"/>
      </w:pPr>
      <w:bookmarkStart w:id="247" w:name="_Ref143933188"/>
      <w:r w:rsidRPr="00FA158B">
        <w:t>Engagement standard</w:t>
      </w:r>
      <w:bookmarkEnd w:id="247"/>
    </w:p>
    <w:p w14:paraId="4DD08ED2" w14:textId="5B1783D5" w:rsidR="00F97290" w:rsidRPr="00FA158B" w:rsidRDefault="0076712A" w:rsidP="009C3752">
      <w:r>
        <w:t>Le GRD</w:t>
      </w:r>
      <w:r w:rsidRPr="00FA158B">
        <w:t xml:space="preserve"> </w:t>
      </w:r>
      <w:r w:rsidR="00F97290" w:rsidRPr="00FA158B">
        <w:t xml:space="preserve">propose systématiquement au Client un engagement standard en matière de continuité hors travaux. </w:t>
      </w:r>
      <w:r>
        <w:t>Le GRD</w:t>
      </w:r>
      <w:r w:rsidRPr="00FA158B">
        <w:t xml:space="preserve"> </w:t>
      </w:r>
      <w:r w:rsidR="00F97290" w:rsidRPr="00FA158B">
        <w:t xml:space="preserve">s'engage à ce que pour chaque Client la somme des seuils pour les Coupures Longues et Brèves n'augmente pas dans l'avenir. </w:t>
      </w:r>
      <w:r w:rsidR="00B5245F">
        <w:t>Le GRD</w:t>
      </w:r>
      <w:r w:rsidR="00B5245F" w:rsidRPr="00FA158B">
        <w:t xml:space="preserve"> </w:t>
      </w:r>
      <w:r w:rsidR="00F97290" w:rsidRPr="00FA158B">
        <w:t>informe le Fournisseur chaque fois que les seuils sont modifiés.</w:t>
      </w:r>
    </w:p>
    <w:p w14:paraId="5503E7AD" w14:textId="30296775" w:rsidR="00F97290" w:rsidRPr="00FA158B" w:rsidRDefault="0076712A" w:rsidP="009C3752">
      <w:r>
        <w:t>Le GRD</w:t>
      </w:r>
      <w:r w:rsidRPr="00FA158B">
        <w:t xml:space="preserve"> </w:t>
      </w:r>
      <w:r w:rsidR="00F97290" w:rsidRPr="00FA158B">
        <w:t>distingue les zones d’alimentation suivantes :</w:t>
      </w:r>
    </w:p>
    <w:p w14:paraId="11DBCC70" w14:textId="77777777" w:rsidR="00F97290" w:rsidRPr="00FA158B" w:rsidRDefault="009B586A" w:rsidP="009C3752">
      <w:proofErr w:type="gramStart"/>
      <w:r w:rsidRPr="00FA158B">
        <w:t>1:</w:t>
      </w:r>
      <w:proofErr w:type="gramEnd"/>
      <w:r w:rsidRPr="00FA158B">
        <w:t xml:space="preserve"> </w:t>
      </w:r>
      <w:r w:rsidR="00F97290" w:rsidRPr="00FA158B">
        <w:t>agglomérations de moins de 10.000 habitants ;</w:t>
      </w:r>
    </w:p>
    <w:p w14:paraId="383EB071" w14:textId="77777777" w:rsidR="00F97290" w:rsidRPr="00FA158B" w:rsidRDefault="009B586A" w:rsidP="009C3752">
      <w:proofErr w:type="gramStart"/>
      <w:r w:rsidRPr="00FA158B">
        <w:t>2:</w:t>
      </w:r>
      <w:proofErr w:type="gramEnd"/>
      <w:r w:rsidRPr="00FA158B">
        <w:t xml:space="preserve"> </w:t>
      </w:r>
      <w:r w:rsidR="00F97290" w:rsidRPr="00FA158B">
        <w:t>agglomérations de 10.000 à 100.000 habitants ;</w:t>
      </w:r>
    </w:p>
    <w:p w14:paraId="5803AB07" w14:textId="77777777" w:rsidR="00F97290" w:rsidRPr="00FA158B" w:rsidRDefault="009B586A" w:rsidP="009C3752">
      <w:proofErr w:type="gramStart"/>
      <w:r w:rsidRPr="00FA158B">
        <w:t>3:</w:t>
      </w:r>
      <w:proofErr w:type="gramEnd"/>
      <w:r w:rsidRPr="00FA158B">
        <w:t xml:space="preserve"> </w:t>
      </w:r>
      <w:r w:rsidR="00F97290" w:rsidRPr="00FA158B">
        <w:t>agglomérations de plus de 100.000 habitants, hors communes de plus de 100.000 habitants et banlieue parisienne ;</w:t>
      </w:r>
    </w:p>
    <w:p w14:paraId="1FC50C6D" w14:textId="77777777" w:rsidR="00F97290" w:rsidRPr="00FA158B" w:rsidRDefault="009B586A" w:rsidP="009C3752">
      <w:proofErr w:type="gramStart"/>
      <w:r w:rsidRPr="00FA158B">
        <w:t>4:</w:t>
      </w:r>
      <w:proofErr w:type="gramEnd"/>
      <w:r w:rsidRPr="00FA158B">
        <w:t xml:space="preserve"> </w:t>
      </w:r>
      <w:r w:rsidR="00F97290" w:rsidRPr="00FA158B">
        <w:t>communes de plus de 100.000 habitants et banlieue parisienne.</w:t>
      </w:r>
    </w:p>
    <w:p w14:paraId="657A861D" w14:textId="77777777" w:rsidR="00F97290" w:rsidRPr="00FA158B" w:rsidRDefault="00F97290" w:rsidP="009C3752">
      <w:r w:rsidRPr="00FA158B">
        <w:t>La référence retenue est le nombre d'habitants de l'unité urbaine dans le ressort de laquelle est localisé le Site, au sens de l'INSEE et ayant valeur légale au moment de la signature du Contrat Unique.</w:t>
      </w:r>
    </w:p>
    <w:p w14:paraId="2878028B" w14:textId="3F72CE9E" w:rsidR="00F97290" w:rsidRPr="00FA158B" w:rsidRDefault="0076712A" w:rsidP="009532C7">
      <w:pPr>
        <w:spacing w:after="0"/>
      </w:pPr>
      <w:r>
        <w:t>Le GRD</w:t>
      </w:r>
      <w:r w:rsidRPr="00FA158B">
        <w:t xml:space="preserve"> </w:t>
      </w:r>
      <w:r w:rsidR="00F97290" w:rsidRPr="00FA158B">
        <w:t>s’engage à ne pas dépasser le nombre de Coupures suivant, par périodes de douze mois à compter de la prise d’effet de l’engagement standard en matière de continuité hors travaux précisée au Contrat Unique concerné.</w:t>
      </w:r>
    </w:p>
    <w:p w14:paraId="1F065994" w14:textId="77777777" w:rsidR="00F97290" w:rsidRPr="00FA158B" w:rsidRDefault="00F97290" w:rsidP="00F84F73">
      <w:pPr>
        <w:pStyle w:val="Normal1"/>
        <w:spacing w:before="0" w:after="0"/>
        <w:rPr>
          <w:sz w:val="16"/>
          <w:szCs w:val="16"/>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16"/>
        <w:gridCol w:w="2364"/>
        <w:gridCol w:w="1159"/>
        <w:gridCol w:w="1286"/>
      </w:tblGrid>
      <w:tr w:rsidR="00F97290" w:rsidRPr="00FA158B" w14:paraId="54AC3834" w14:textId="77777777" w:rsidTr="00F97290">
        <w:trPr>
          <w:jc w:val="center"/>
        </w:trPr>
        <w:tc>
          <w:tcPr>
            <w:tcW w:w="2916" w:type="dxa"/>
            <w:tcBorders>
              <w:top w:val="nil"/>
              <w:left w:val="nil"/>
              <w:bottom w:val="nil"/>
              <w:right w:val="nil"/>
            </w:tcBorders>
          </w:tcPr>
          <w:p w14:paraId="51A73664" w14:textId="77777777" w:rsidR="00F97290" w:rsidRPr="00FA158B" w:rsidRDefault="00F97290" w:rsidP="009532C7">
            <w:pPr>
              <w:spacing w:before="0" w:after="0"/>
            </w:pPr>
          </w:p>
        </w:tc>
        <w:tc>
          <w:tcPr>
            <w:tcW w:w="2364" w:type="dxa"/>
            <w:tcBorders>
              <w:top w:val="nil"/>
              <w:left w:val="nil"/>
              <w:bottom w:val="nil"/>
              <w:right w:val="nil"/>
            </w:tcBorders>
          </w:tcPr>
          <w:p w14:paraId="16DE79F1" w14:textId="77777777" w:rsidR="00F97290" w:rsidRPr="00FA158B" w:rsidRDefault="00F97290" w:rsidP="009532C7">
            <w:pPr>
              <w:spacing w:before="0" w:after="0"/>
            </w:pPr>
          </w:p>
        </w:tc>
        <w:tc>
          <w:tcPr>
            <w:tcW w:w="1159" w:type="dxa"/>
            <w:tcBorders>
              <w:top w:val="single" w:sz="12" w:space="0" w:color="auto"/>
              <w:left w:val="single" w:sz="12" w:space="0" w:color="auto"/>
              <w:bottom w:val="nil"/>
              <w:right w:val="single" w:sz="6" w:space="0" w:color="auto"/>
            </w:tcBorders>
            <w:vAlign w:val="center"/>
          </w:tcPr>
          <w:p w14:paraId="6FF8BD55" w14:textId="77777777" w:rsidR="00F97290" w:rsidRPr="00FA158B" w:rsidRDefault="00F97290" w:rsidP="009532C7">
            <w:pPr>
              <w:spacing w:before="0" w:after="0"/>
              <w:jc w:val="center"/>
            </w:pPr>
            <w:proofErr w:type="gramStart"/>
            <w:r w:rsidRPr="00FA158B">
              <w:t>zone</w:t>
            </w:r>
            <w:proofErr w:type="gramEnd"/>
          </w:p>
        </w:tc>
        <w:tc>
          <w:tcPr>
            <w:tcW w:w="1286" w:type="dxa"/>
            <w:tcBorders>
              <w:top w:val="single" w:sz="12" w:space="0" w:color="auto"/>
              <w:left w:val="single" w:sz="6" w:space="0" w:color="auto"/>
              <w:bottom w:val="nil"/>
              <w:right w:val="single" w:sz="12" w:space="0" w:color="auto"/>
            </w:tcBorders>
            <w:vAlign w:val="center"/>
          </w:tcPr>
          <w:p w14:paraId="34845B38" w14:textId="77777777" w:rsidR="00F97290" w:rsidRPr="00FA158B" w:rsidRDefault="00F97290" w:rsidP="009532C7">
            <w:pPr>
              <w:spacing w:before="0" w:after="0"/>
              <w:jc w:val="center"/>
            </w:pPr>
            <w:proofErr w:type="gramStart"/>
            <w:r w:rsidRPr="00FA158B">
              <w:t>nombre</w:t>
            </w:r>
            <w:proofErr w:type="gramEnd"/>
            <w:r w:rsidRPr="00FA158B">
              <w:t xml:space="preserve"> de Coupures</w:t>
            </w:r>
          </w:p>
        </w:tc>
      </w:tr>
      <w:tr w:rsidR="00F97290" w:rsidRPr="00FA158B" w14:paraId="6161E6DD" w14:textId="77777777" w:rsidTr="00F97290">
        <w:trPr>
          <w:cantSplit/>
          <w:jc w:val="center"/>
        </w:trPr>
        <w:tc>
          <w:tcPr>
            <w:tcW w:w="2916" w:type="dxa"/>
            <w:vMerge w:val="restart"/>
            <w:tcBorders>
              <w:top w:val="single" w:sz="12" w:space="0" w:color="auto"/>
              <w:left w:val="single" w:sz="12" w:space="0" w:color="auto"/>
              <w:right w:val="single" w:sz="6" w:space="0" w:color="auto"/>
            </w:tcBorders>
            <w:vAlign w:val="center"/>
          </w:tcPr>
          <w:p w14:paraId="6DF4F9F4" w14:textId="77777777" w:rsidR="00F97290" w:rsidRPr="00FA158B" w:rsidRDefault="00F97290" w:rsidP="009532C7">
            <w:pPr>
              <w:spacing w:before="0" w:after="0"/>
            </w:pPr>
            <w:r w:rsidRPr="00FA158B">
              <w:t>Cas des clients raccordés par plusieurs alimentations avec bascule automatique</w:t>
            </w:r>
          </w:p>
        </w:tc>
        <w:tc>
          <w:tcPr>
            <w:tcW w:w="2364" w:type="dxa"/>
            <w:vMerge w:val="restart"/>
            <w:tcBorders>
              <w:top w:val="single" w:sz="12" w:space="0" w:color="auto"/>
              <w:left w:val="single" w:sz="6" w:space="0" w:color="auto"/>
              <w:right w:val="single" w:sz="6" w:space="0" w:color="auto"/>
            </w:tcBorders>
            <w:vAlign w:val="center"/>
          </w:tcPr>
          <w:p w14:paraId="6A260863" w14:textId="77777777" w:rsidR="00F97290" w:rsidRPr="00FA158B" w:rsidRDefault="00F97290" w:rsidP="009532C7">
            <w:pPr>
              <w:spacing w:before="0" w:after="0"/>
              <w:jc w:val="left"/>
            </w:pPr>
            <w:r w:rsidRPr="00FA158B">
              <w:t>Coupures</w:t>
            </w:r>
          </w:p>
          <w:p w14:paraId="501CBCD1" w14:textId="77777777" w:rsidR="00F97290" w:rsidRPr="00FA158B" w:rsidRDefault="00F97290" w:rsidP="009532C7">
            <w:pPr>
              <w:spacing w:before="0" w:after="0"/>
              <w:jc w:val="left"/>
            </w:pPr>
            <w:r w:rsidRPr="00FA158B">
              <w:t>(</w:t>
            </w:r>
            <w:proofErr w:type="gramStart"/>
            <w:r w:rsidRPr="00FA158B">
              <w:t>durée</w:t>
            </w:r>
            <w:proofErr w:type="gramEnd"/>
            <w:r w:rsidRPr="00FA158B">
              <w:t xml:space="preserve"> </w:t>
            </w:r>
            <w:r w:rsidRPr="00FA158B">
              <w:sym w:font="Symbol" w:char="F0B3"/>
            </w:r>
            <w:r w:rsidRPr="00FA158B">
              <w:t xml:space="preserve"> 1 s)</w:t>
            </w:r>
          </w:p>
        </w:tc>
        <w:tc>
          <w:tcPr>
            <w:tcW w:w="1159" w:type="dxa"/>
            <w:tcBorders>
              <w:top w:val="single" w:sz="12" w:space="0" w:color="auto"/>
              <w:left w:val="single" w:sz="6" w:space="0" w:color="auto"/>
              <w:bottom w:val="single" w:sz="6" w:space="0" w:color="auto"/>
              <w:right w:val="single" w:sz="6" w:space="0" w:color="auto"/>
            </w:tcBorders>
          </w:tcPr>
          <w:p w14:paraId="79848B9E" w14:textId="77777777" w:rsidR="00F97290" w:rsidRPr="00FA158B" w:rsidRDefault="00F97290" w:rsidP="009532C7">
            <w:pPr>
              <w:spacing w:before="0" w:after="0"/>
              <w:jc w:val="center"/>
            </w:pPr>
            <w:r w:rsidRPr="00FA158B">
              <w:t>1</w:t>
            </w:r>
          </w:p>
        </w:tc>
        <w:tc>
          <w:tcPr>
            <w:tcW w:w="1286" w:type="dxa"/>
            <w:tcBorders>
              <w:top w:val="single" w:sz="12" w:space="0" w:color="auto"/>
              <w:left w:val="single" w:sz="6" w:space="0" w:color="auto"/>
              <w:bottom w:val="single" w:sz="6" w:space="0" w:color="auto"/>
              <w:right w:val="single" w:sz="12" w:space="0" w:color="auto"/>
            </w:tcBorders>
          </w:tcPr>
          <w:p w14:paraId="6CED299A" w14:textId="77777777" w:rsidR="00F97290" w:rsidRPr="00FA158B" w:rsidRDefault="00F97290" w:rsidP="009532C7">
            <w:pPr>
              <w:spacing w:before="0" w:after="0"/>
              <w:jc w:val="center"/>
            </w:pPr>
            <w:r w:rsidRPr="00FA158B">
              <w:t>36</w:t>
            </w:r>
          </w:p>
        </w:tc>
      </w:tr>
      <w:tr w:rsidR="00F97290" w:rsidRPr="00FA158B" w14:paraId="7B049761" w14:textId="77777777" w:rsidTr="00F97290">
        <w:trPr>
          <w:cantSplit/>
          <w:jc w:val="center"/>
        </w:trPr>
        <w:tc>
          <w:tcPr>
            <w:tcW w:w="2916" w:type="dxa"/>
            <w:vMerge/>
            <w:tcBorders>
              <w:left w:val="single" w:sz="12" w:space="0" w:color="auto"/>
              <w:right w:val="single" w:sz="6" w:space="0" w:color="auto"/>
            </w:tcBorders>
            <w:vAlign w:val="center"/>
          </w:tcPr>
          <w:p w14:paraId="03E2981C" w14:textId="77777777" w:rsidR="00F97290" w:rsidRPr="00FA158B" w:rsidRDefault="00F97290" w:rsidP="009532C7">
            <w:pPr>
              <w:spacing w:before="0" w:after="0"/>
            </w:pPr>
          </w:p>
        </w:tc>
        <w:tc>
          <w:tcPr>
            <w:tcW w:w="2364" w:type="dxa"/>
            <w:vMerge/>
            <w:tcBorders>
              <w:left w:val="single" w:sz="6" w:space="0" w:color="auto"/>
              <w:right w:val="single" w:sz="6" w:space="0" w:color="auto"/>
            </w:tcBorders>
            <w:vAlign w:val="center"/>
          </w:tcPr>
          <w:p w14:paraId="26F22C43" w14:textId="77777777" w:rsidR="00F97290" w:rsidRPr="00FA158B" w:rsidRDefault="00F9729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3398C1C2" w14:textId="77777777" w:rsidR="00F97290" w:rsidRPr="00FA158B" w:rsidRDefault="00F97290" w:rsidP="009532C7">
            <w:pPr>
              <w:spacing w:before="0" w:after="0"/>
              <w:jc w:val="center"/>
            </w:pPr>
            <w:r w:rsidRPr="00FA158B">
              <w:t>2</w:t>
            </w:r>
          </w:p>
        </w:tc>
        <w:tc>
          <w:tcPr>
            <w:tcW w:w="1286" w:type="dxa"/>
            <w:tcBorders>
              <w:top w:val="single" w:sz="6" w:space="0" w:color="auto"/>
              <w:left w:val="single" w:sz="6" w:space="0" w:color="auto"/>
              <w:bottom w:val="single" w:sz="6" w:space="0" w:color="auto"/>
              <w:right w:val="single" w:sz="12" w:space="0" w:color="auto"/>
            </w:tcBorders>
          </w:tcPr>
          <w:p w14:paraId="064E0AE5" w14:textId="77777777" w:rsidR="00F97290" w:rsidRPr="00FA158B" w:rsidRDefault="00F97290" w:rsidP="009532C7">
            <w:pPr>
              <w:spacing w:before="0" w:after="0"/>
              <w:jc w:val="center"/>
            </w:pPr>
            <w:r w:rsidRPr="00FA158B">
              <w:t>13</w:t>
            </w:r>
          </w:p>
        </w:tc>
      </w:tr>
      <w:tr w:rsidR="00F97290" w:rsidRPr="00FA158B" w14:paraId="21AB8EB3" w14:textId="77777777" w:rsidTr="00F97290">
        <w:trPr>
          <w:cantSplit/>
          <w:jc w:val="center"/>
        </w:trPr>
        <w:tc>
          <w:tcPr>
            <w:tcW w:w="2916" w:type="dxa"/>
            <w:vMerge/>
            <w:tcBorders>
              <w:left w:val="single" w:sz="12" w:space="0" w:color="auto"/>
              <w:right w:val="single" w:sz="6" w:space="0" w:color="auto"/>
            </w:tcBorders>
            <w:vAlign w:val="center"/>
          </w:tcPr>
          <w:p w14:paraId="7A305A2C" w14:textId="77777777" w:rsidR="00F97290" w:rsidRPr="00FA158B" w:rsidRDefault="00F97290" w:rsidP="009532C7">
            <w:pPr>
              <w:spacing w:before="0" w:after="0"/>
            </w:pPr>
          </w:p>
        </w:tc>
        <w:tc>
          <w:tcPr>
            <w:tcW w:w="2364" w:type="dxa"/>
            <w:vMerge/>
            <w:tcBorders>
              <w:left w:val="single" w:sz="6" w:space="0" w:color="auto"/>
              <w:right w:val="single" w:sz="6" w:space="0" w:color="auto"/>
            </w:tcBorders>
            <w:vAlign w:val="center"/>
          </w:tcPr>
          <w:p w14:paraId="2C004697" w14:textId="77777777" w:rsidR="00F97290" w:rsidRPr="00FA158B" w:rsidRDefault="00F9729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21A0EB65" w14:textId="77777777" w:rsidR="00F97290" w:rsidRPr="00FA158B" w:rsidRDefault="00F97290" w:rsidP="009532C7">
            <w:pPr>
              <w:spacing w:before="0" w:after="0"/>
              <w:jc w:val="center"/>
            </w:pPr>
            <w:r w:rsidRPr="00FA158B">
              <w:t>3</w:t>
            </w:r>
          </w:p>
        </w:tc>
        <w:tc>
          <w:tcPr>
            <w:tcW w:w="1286" w:type="dxa"/>
            <w:tcBorders>
              <w:top w:val="single" w:sz="6" w:space="0" w:color="auto"/>
              <w:left w:val="single" w:sz="6" w:space="0" w:color="auto"/>
              <w:bottom w:val="single" w:sz="6" w:space="0" w:color="auto"/>
              <w:right w:val="single" w:sz="12" w:space="0" w:color="auto"/>
            </w:tcBorders>
          </w:tcPr>
          <w:p w14:paraId="357341AE" w14:textId="77777777" w:rsidR="00F97290" w:rsidRPr="00FA158B" w:rsidRDefault="00F97290" w:rsidP="009532C7">
            <w:pPr>
              <w:spacing w:before="0" w:after="0"/>
              <w:jc w:val="center"/>
            </w:pPr>
            <w:r w:rsidRPr="00FA158B">
              <w:t>6</w:t>
            </w:r>
          </w:p>
        </w:tc>
      </w:tr>
      <w:tr w:rsidR="00F97290" w:rsidRPr="00FA158B" w14:paraId="2D26833E" w14:textId="77777777" w:rsidTr="00F97290">
        <w:trPr>
          <w:cantSplit/>
          <w:jc w:val="center"/>
        </w:trPr>
        <w:tc>
          <w:tcPr>
            <w:tcW w:w="2916" w:type="dxa"/>
            <w:vMerge/>
            <w:tcBorders>
              <w:left w:val="single" w:sz="12" w:space="0" w:color="auto"/>
              <w:bottom w:val="single" w:sz="12" w:space="0" w:color="auto"/>
              <w:right w:val="single" w:sz="6" w:space="0" w:color="auto"/>
            </w:tcBorders>
            <w:vAlign w:val="center"/>
          </w:tcPr>
          <w:p w14:paraId="4D8E1E60" w14:textId="77777777" w:rsidR="00F97290" w:rsidRPr="00FA158B" w:rsidRDefault="00F97290" w:rsidP="009532C7">
            <w:pPr>
              <w:spacing w:before="0" w:after="0"/>
            </w:pPr>
          </w:p>
        </w:tc>
        <w:tc>
          <w:tcPr>
            <w:tcW w:w="2364" w:type="dxa"/>
            <w:vMerge/>
            <w:tcBorders>
              <w:left w:val="single" w:sz="6" w:space="0" w:color="auto"/>
              <w:bottom w:val="nil"/>
              <w:right w:val="single" w:sz="6" w:space="0" w:color="auto"/>
            </w:tcBorders>
            <w:vAlign w:val="center"/>
          </w:tcPr>
          <w:p w14:paraId="60302F4D" w14:textId="77777777" w:rsidR="00F97290" w:rsidRPr="00FA158B" w:rsidRDefault="00F97290" w:rsidP="009532C7">
            <w:pPr>
              <w:spacing w:before="0" w:after="0"/>
              <w:jc w:val="left"/>
            </w:pPr>
          </w:p>
        </w:tc>
        <w:tc>
          <w:tcPr>
            <w:tcW w:w="1159" w:type="dxa"/>
            <w:tcBorders>
              <w:top w:val="single" w:sz="6" w:space="0" w:color="auto"/>
              <w:left w:val="single" w:sz="6" w:space="0" w:color="auto"/>
              <w:bottom w:val="nil"/>
              <w:right w:val="single" w:sz="6" w:space="0" w:color="auto"/>
            </w:tcBorders>
          </w:tcPr>
          <w:p w14:paraId="3393826D" w14:textId="77777777" w:rsidR="00F97290" w:rsidRPr="00FA158B" w:rsidRDefault="00F97290" w:rsidP="009532C7">
            <w:pPr>
              <w:spacing w:before="0" w:after="0"/>
              <w:jc w:val="center"/>
            </w:pPr>
            <w:r w:rsidRPr="00FA158B">
              <w:t>4</w:t>
            </w:r>
          </w:p>
        </w:tc>
        <w:tc>
          <w:tcPr>
            <w:tcW w:w="1286" w:type="dxa"/>
            <w:tcBorders>
              <w:top w:val="single" w:sz="6" w:space="0" w:color="auto"/>
              <w:left w:val="single" w:sz="6" w:space="0" w:color="auto"/>
              <w:bottom w:val="nil"/>
              <w:right w:val="single" w:sz="12" w:space="0" w:color="auto"/>
            </w:tcBorders>
          </w:tcPr>
          <w:p w14:paraId="3CFF6730" w14:textId="77777777" w:rsidR="00F97290" w:rsidRPr="00FA158B" w:rsidRDefault="00F97290" w:rsidP="009532C7">
            <w:pPr>
              <w:spacing w:before="0" w:after="0"/>
              <w:jc w:val="center"/>
            </w:pPr>
            <w:r w:rsidRPr="00FA158B">
              <w:t>4</w:t>
            </w:r>
          </w:p>
        </w:tc>
      </w:tr>
      <w:tr w:rsidR="00F97290" w:rsidRPr="00FA158B" w14:paraId="08971FE7" w14:textId="77777777" w:rsidTr="00F97290">
        <w:trPr>
          <w:cantSplit/>
          <w:jc w:val="center"/>
        </w:trPr>
        <w:tc>
          <w:tcPr>
            <w:tcW w:w="2916" w:type="dxa"/>
            <w:vMerge w:val="restart"/>
            <w:tcBorders>
              <w:top w:val="nil"/>
              <w:left w:val="single" w:sz="12" w:space="0" w:color="auto"/>
              <w:right w:val="single" w:sz="6" w:space="0" w:color="auto"/>
            </w:tcBorders>
            <w:vAlign w:val="center"/>
          </w:tcPr>
          <w:p w14:paraId="39859D18" w14:textId="77777777" w:rsidR="00F97290" w:rsidRPr="00FA158B" w:rsidRDefault="00F97290" w:rsidP="009532C7">
            <w:pPr>
              <w:spacing w:before="0" w:after="0"/>
            </w:pPr>
            <w:r w:rsidRPr="00FA158B">
              <w:t>Cas des clients raccordés en Coupure d'artère ou en antenne</w:t>
            </w:r>
          </w:p>
        </w:tc>
        <w:tc>
          <w:tcPr>
            <w:tcW w:w="2364" w:type="dxa"/>
            <w:vMerge w:val="restart"/>
            <w:tcBorders>
              <w:top w:val="single" w:sz="12" w:space="0" w:color="auto"/>
              <w:left w:val="single" w:sz="6" w:space="0" w:color="auto"/>
              <w:right w:val="single" w:sz="6" w:space="0" w:color="auto"/>
            </w:tcBorders>
            <w:vAlign w:val="center"/>
          </w:tcPr>
          <w:p w14:paraId="55E864B4" w14:textId="77777777" w:rsidR="00F97290" w:rsidRPr="00FA158B" w:rsidRDefault="00710023" w:rsidP="009532C7">
            <w:pPr>
              <w:spacing w:before="0" w:after="0"/>
              <w:jc w:val="left"/>
            </w:pPr>
            <w:r w:rsidRPr="00FA158B">
              <w:t>Coupures L</w:t>
            </w:r>
            <w:r w:rsidR="00F97290" w:rsidRPr="00FA158B">
              <w:t>ongues</w:t>
            </w:r>
          </w:p>
          <w:p w14:paraId="4F6C3611" w14:textId="77777777" w:rsidR="00F97290" w:rsidRPr="00FA158B" w:rsidRDefault="00F97290" w:rsidP="009532C7">
            <w:pPr>
              <w:spacing w:before="0" w:after="0"/>
              <w:jc w:val="left"/>
            </w:pPr>
            <w:r w:rsidRPr="00FA158B">
              <w:t>(</w:t>
            </w:r>
            <w:proofErr w:type="gramStart"/>
            <w:r w:rsidRPr="00FA158B">
              <w:t>durée</w:t>
            </w:r>
            <w:proofErr w:type="gramEnd"/>
            <w:r w:rsidRPr="00FA158B">
              <w:t xml:space="preserve"> &gt; 3 min)</w:t>
            </w:r>
          </w:p>
        </w:tc>
        <w:tc>
          <w:tcPr>
            <w:tcW w:w="1159" w:type="dxa"/>
            <w:tcBorders>
              <w:top w:val="single" w:sz="12" w:space="0" w:color="auto"/>
              <w:left w:val="single" w:sz="6" w:space="0" w:color="auto"/>
              <w:bottom w:val="single" w:sz="6" w:space="0" w:color="auto"/>
              <w:right w:val="single" w:sz="6" w:space="0" w:color="auto"/>
            </w:tcBorders>
          </w:tcPr>
          <w:p w14:paraId="0562FA81" w14:textId="77777777" w:rsidR="00F97290" w:rsidRPr="00FA158B" w:rsidRDefault="00F97290" w:rsidP="009532C7">
            <w:pPr>
              <w:spacing w:before="0" w:after="0"/>
              <w:jc w:val="center"/>
            </w:pPr>
            <w:r w:rsidRPr="00FA158B">
              <w:t>1</w:t>
            </w:r>
          </w:p>
        </w:tc>
        <w:tc>
          <w:tcPr>
            <w:tcW w:w="1286" w:type="dxa"/>
            <w:tcBorders>
              <w:top w:val="single" w:sz="12" w:space="0" w:color="auto"/>
              <w:left w:val="single" w:sz="6" w:space="0" w:color="auto"/>
              <w:bottom w:val="single" w:sz="6" w:space="0" w:color="auto"/>
              <w:right w:val="single" w:sz="12" w:space="0" w:color="auto"/>
            </w:tcBorders>
          </w:tcPr>
          <w:p w14:paraId="4130CF8D" w14:textId="77777777" w:rsidR="00F97290" w:rsidRPr="00FA158B" w:rsidRDefault="00F97290" w:rsidP="009532C7">
            <w:pPr>
              <w:spacing w:before="0" w:after="0"/>
              <w:jc w:val="center"/>
            </w:pPr>
            <w:r w:rsidRPr="00FA158B">
              <w:t>6</w:t>
            </w:r>
          </w:p>
        </w:tc>
      </w:tr>
      <w:tr w:rsidR="00F97290" w:rsidRPr="00FA158B" w14:paraId="4288D45F" w14:textId="77777777" w:rsidTr="00F97290">
        <w:trPr>
          <w:cantSplit/>
          <w:jc w:val="center"/>
        </w:trPr>
        <w:tc>
          <w:tcPr>
            <w:tcW w:w="2916" w:type="dxa"/>
            <w:vMerge/>
            <w:tcBorders>
              <w:left w:val="single" w:sz="12" w:space="0" w:color="auto"/>
              <w:right w:val="single" w:sz="6" w:space="0" w:color="auto"/>
            </w:tcBorders>
          </w:tcPr>
          <w:p w14:paraId="28AFA5EE" w14:textId="77777777" w:rsidR="00F97290" w:rsidRPr="00FA158B" w:rsidRDefault="00F97290" w:rsidP="009532C7">
            <w:pPr>
              <w:spacing w:before="0" w:after="0"/>
            </w:pPr>
          </w:p>
        </w:tc>
        <w:tc>
          <w:tcPr>
            <w:tcW w:w="2364" w:type="dxa"/>
            <w:vMerge/>
            <w:tcBorders>
              <w:left w:val="single" w:sz="6" w:space="0" w:color="auto"/>
              <w:right w:val="single" w:sz="6" w:space="0" w:color="auto"/>
            </w:tcBorders>
            <w:vAlign w:val="center"/>
          </w:tcPr>
          <w:p w14:paraId="757D5A19" w14:textId="77777777" w:rsidR="00F97290" w:rsidRPr="00FA158B" w:rsidRDefault="00F9729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64F66B96" w14:textId="77777777" w:rsidR="00F97290" w:rsidRPr="00FA158B" w:rsidRDefault="00F97290" w:rsidP="009532C7">
            <w:pPr>
              <w:spacing w:before="0" w:after="0"/>
              <w:jc w:val="center"/>
            </w:pPr>
            <w:r w:rsidRPr="00FA158B">
              <w:t>2</w:t>
            </w:r>
          </w:p>
        </w:tc>
        <w:tc>
          <w:tcPr>
            <w:tcW w:w="1286" w:type="dxa"/>
            <w:tcBorders>
              <w:top w:val="single" w:sz="6" w:space="0" w:color="auto"/>
              <w:left w:val="single" w:sz="6" w:space="0" w:color="auto"/>
              <w:bottom w:val="single" w:sz="6" w:space="0" w:color="auto"/>
              <w:right w:val="single" w:sz="12" w:space="0" w:color="auto"/>
            </w:tcBorders>
          </w:tcPr>
          <w:p w14:paraId="5C8A5918" w14:textId="77777777" w:rsidR="00F97290" w:rsidRPr="00FA158B" w:rsidRDefault="00F97290" w:rsidP="009532C7">
            <w:pPr>
              <w:spacing w:before="0" w:after="0"/>
              <w:jc w:val="center"/>
            </w:pPr>
            <w:r w:rsidRPr="00FA158B">
              <w:t>3</w:t>
            </w:r>
          </w:p>
        </w:tc>
      </w:tr>
      <w:tr w:rsidR="00F97290" w:rsidRPr="00FA158B" w14:paraId="370A6965" w14:textId="77777777" w:rsidTr="00F97290">
        <w:trPr>
          <w:cantSplit/>
          <w:jc w:val="center"/>
        </w:trPr>
        <w:tc>
          <w:tcPr>
            <w:tcW w:w="2916" w:type="dxa"/>
            <w:vMerge/>
            <w:tcBorders>
              <w:left w:val="single" w:sz="12" w:space="0" w:color="auto"/>
              <w:right w:val="single" w:sz="6" w:space="0" w:color="auto"/>
            </w:tcBorders>
          </w:tcPr>
          <w:p w14:paraId="16481482" w14:textId="77777777" w:rsidR="00F97290" w:rsidRPr="00FA158B" w:rsidRDefault="00F97290" w:rsidP="009532C7">
            <w:pPr>
              <w:spacing w:before="0" w:after="0"/>
            </w:pPr>
          </w:p>
        </w:tc>
        <w:tc>
          <w:tcPr>
            <w:tcW w:w="2364" w:type="dxa"/>
            <w:vMerge/>
            <w:tcBorders>
              <w:left w:val="single" w:sz="6" w:space="0" w:color="auto"/>
              <w:right w:val="single" w:sz="6" w:space="0" w:color="auto"/>
            </w:tcBorders>
            <w:vAlign w:val="center"/>
          </w:tcPr>
          <w:p w14:paraId="66478A74" w14:textId="77777777" w:rsidR="00F97290" w:rsidRPr="00FA158B" w:rsidRDefault="00F9729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61976C10" w14:textId="77777777" w:rsidR="00F97290" w:rsidRPr="00FA158B" w:rsidRDefault="00F97290" w:rsidP="009532C7">
            <w:pPr>
              <w:spacing w:before="0" w:after="0"/>
              <w:jc w:val="center"/>
            </w:pPr>
            <w:r w:rsidRPr="00FA158B">
              <w:t>3</w:t>
            </w:r>
          </w:p>
        </w:tc>
        <w:tc>
          <w:tcPr>
            <w:tcW w:w="1286" w:type="dxa"/>
            <w:tcBorders>
              <w:top w:val="single" w:sz="6" w:space="0" w:color="auto"/>
              <w:left w:val="single" w:sz="6" w:space="0" w:color="auto"/>
              <w:bottom w:val="single" w:sz="6" w:space="0" w:color="auto"/>
              <w:right w:val="single" w:sz="12" w:space="0" w:color="auto"/>
            </w:tcBorders>
          </w:tcPr>
          <w:p w14:paraId="09199F8C" w14:textId="77777777" w:rsidR="00F97290" w:rsidRPr="00FA158B" w:rsidRDefault="00F97290" w:rsidP="009532C7">
            <w:pPr>
              <w:spacing w:before="0" w:after="0"/>
              <w:jc w:val="center"/>
            </w:pPr>
            <w:r w:rsidRPr="00FA158B">
              <w:t>3</w:t>
            </w:r>
          </w:p>
        </w:tc>
      </w:tr>
      <w:tr w:rsidR="00F97290" w:rsidRPr="00FA158B" w14:paraId="615E558A" w14:textId="77777777" w:rsidTr="00F97290">
        <w:trPr>
          <w:cantSplit/>
          <w:jc w:val="center"/>
        </w:trPr>
        <w:tc>
          <w:tcPr>
            <w:tcW w:w="2916" w:type="dxa"/>
            <w:vMerge/>
            <w:tcBorders>
              <w:left w:val="single" w:sz="12" w:space="0" w:color="auto"/>
              <w:right w:val="single" w:sz="6" w:space="0" w:color="auto"/>
            </w:tcBorders>
          </w:tcPr>
          <w:p w14:paraId="257A0FA0" w14:textId="77777777" w:rsidR="00F97290" w:rsidRPr="00FA158B" w:rsidRDefault="00F97290" w:rsidP="009532C7">
            <w:pPr>
              <w:spacing w:before="0" w:after="0"/>
            </w:pPr>
          </w:p>
        </w:tc>
        <w:tc>
          <w:tcPr>
            <w:tcW w:w="2364" w:type="dxa"/>
            <w:vMerge/>
            <w:tcBorders>
              <w:left w:val="single" w:sz="6" w:space="0" w:color="auto"/>
              <w:bottom w:val="single" w:sz="6" w:space="0" w:color="auto"/>
              <w:right w:val="single" w:sz="6" w:space="0" w:color="auto"/>
            </w:tcBorders>
            <w:vAlign w:val="center"/>
          </w:tcPr>
          <w:p w14:paraId="56B62EFC" w14:textId="77777777" w:rsidR="00F97290" w:rsidRPr="00FA158B" w:rsidRDefault="00F97290" w:rsidP="009532C7">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26356CCA" w14:textId="77777777" w:rsidR="00F97290" w:rsidRPr="00FA158B" w:rsidRDefault="00F97290" w:rsidP="009532C7">
            <w:pPr>
              <w:spacing w:before="0" w:after="0"/>
              <w:jc w:val="center"/>
            </w:pPr>
            <w:r w:rsidRPr="00FA158B">
              <w:t>4</w:t>
            </w:r>
          </w:p>
        </w:tc>
        <w:tc>
          <w:tcPr>
            <w:tcW w:w="1286" w:type="dxa"/>
            <w:tcBorders>
              <w:top w:val="single" w:sz="6" w:space="0" w:color="auto"/>
              <w:left w:val="single" w:sz="6" w:space="0" w:color="auto"/>
              <w:bottom w:val="single" w:sz="6" w:space="0" w:color="auto"/>
              <w:right w:val="single" w:sz="12" w:space="0" w:color="auto"/>
            </w:tcBorders>
          </w:tcPr>
          <w:p w14:paraId="6A9B42CB" w14:textId="77777777" w:rsidR="00F97290" w:rsidRPr="00FA158B" w:rsidRDefault="00F97290" w:rsidP="009532C7">
            <w:pPr>
              <w:spacing w:before="0" w:after="0"/>
              <w:jc w:val="center"/>
            </w:pPr>
            <w:r w:rsidRPr="00FA158B">
              <w:t>2</w:t>
            </w:r>
          </w:p>
        </w:tc>
      </w:tr>
      <w:tr w:rsidR="00F97290" w:rsidRPr="00FA158B" w14:paraId="263E1599" w14:textId="77777777" w:rsidTr="00F97290">
        <w:trPr>
          <w:cantSplit/>
          <w:jc w:val="center"/>
        </w:trPr>
        <w:tc>
          <w:tcPr>
            <w:tcW w:w="2916" w:type="dxa"/>
            <w:vMerge/>
            <w:tcBorders>
              <w:left w:val="single" w:sz="12" w:space="0" w:color="auto"/>
              <w:right w:val="single" w:sz="6" w:space="0" w:color="auto"/>
            </w:tcBorders>
          </w:tcPr>
          <w:p w14:paraId="7B046945" w14:textId="77777777" w:rsidR="00F97290" w:rsidRPr="00FA158B" w:rsidRDefault="00F97290" w:rsidP="009532C7">
            <w:pPr>
              <w:spacing w:before="0" w:after="0"/>
            </w:pPr>
          </w:p>
        </w:tc>
        <w:tc>
          <w:tcPr>
            <w:tcW w:w="2364" w:type="dxa"/>
            <w:vMerge w:val="restart"/>
            <w:tcBorders>
              <w:top w:val="nil"/>
              <w:left w:val="single" w:sz="6" w:space="0" w:color="auto"/>
              <w:right w:val="single" w:sz="6" w:space="0" w:color="auto"/>
            </w:tcBorders>
            <w:vAlign w:val="center"/>
          </w:tcPr>
          <w:p w14:paraId="7347699C" w14:textId="77777777" w:rsidR="00F97290" w:rsidRPr="00FA158B" w:rsidRDefault="00F97290" w:rsidP="009532C7">
            <w:pPr>
              <w:spacing w:before="0" w:after="0"/>
              <w:jc w:val="left"/>
            </w:pPr>
            <w:r w:rsidRPr="00FA158B">
              <w:t xml:space="preserve">Coupures </w:t>
            </w:r>
            <w:r w:rsidR="00710023" w:rsidRPr="00FA158B">
              <w:t>B</w:t>
            </w:r>
            <w:r w:rsidRPr="00FA158B">
              <w:t>rèves</w:t>
            </w:r>
          </w:p>
          <w:p w14:paraId="15AB7518" w14:textId="77777777" w:rsidR="00F97290" w:rsidRPr="00FA158B" w:rsidRDefault="00F97290" w:rsidP="009532C7">
            <w:pPr>
              <w:spacing w:before="0" w:after="0"/>
              <w:jc w:val="left"/>
            </w:pPr>
            <w:r w:rsidRPr="00FA158B">
              <w:t xml:space="preserve">(1 s </w:t>
            </w:r>
            <w:r w:rsidRPr="00FA158B">
              <w:sym w:font="Symbol" w:char="F0A3"/>
            </w:r>
            <w:r w:rsidRPr="00FA158B">
              <w:t xml:space="preserve"> durée ≤ 3 min)</w:t>
            </w:r>
          </w:p>
        </w:tc>
        <w:tc>
          <w:tcPr>
            <w:tcW w:w="1159" w:type="dxa"/>
            <w:tcBorders>
              <w:top w:val="single" w:sz="6" w:space="0" w:color="auto"/>
              <w:left w:val="single" w:sz="6" w:space="0" w:color="auto"/>
              <w:bottom w:val="single" w:sz="6" w:space="0" w:color="auto"/>
              <w:right w:val="single" w:sz="6" w:space="0" w:color="auto"/>
            </w:tcBorders>
          </w:tcPr>
          <w:p w14:paraId="6DB7D117" w14:textId="77777777" w:rsidR="00F97290" w:rsidRPr="00FA158B" w:rsidRDefault="00F97290" w:rsidP="009532C7">
            <w:pPr>
              <w:spacing w:before="0" w:after="0"/>
              <w:jc w:val="center"/>
            </w:pPr>
            <w:r w:rsidRPr="00FA158B">
              <w:t>1</w:t>
            </w:r>
          </w:p>
        </w:tc>
        <w:tc>
          <w:tcPr>
            <w:tcW w:w="1286" w:type="dxa"/>
            <w:tcBorders>
              <w:top w:val="single" w:sz="6" w:space="0" w:color="auto"/>
              <w:left w:val="single" w:sz="6" w:space="0" w:color="auto"/>
              <w:bottom w:val="single" w:sz="6" w:space="0" w:color="auto"/>
              <w:right w:val="single" w:sz="12" w:space="0" w:color="auto"/>
            </w:tcBorders>
          </w:tcPr>
          <w:p w14:paraId="3FDD421C" w14:textId="77777777" w:rsidR="00F97290" w:rsidRPr="00FA158B" w:rsidRDefault="00F97290" w:rsidP="009532C7">
            <w:pPr>
              <w:spacing w:before="0" w:after="0"/>
              <w:jc w:val="center"/>
            </w:pPr>
            <w:r w:rsidRPr="00FA158B">
              <w:t>30</w:t>
            </w:r>
          </w:p>
        </w:tc>
      </w:tr>
      <w:tr w:rsidR="00F97290" w:rsidRPr="00FA158B" w14:paraId="7D521651" w14:textId="77777777" w:rsidTr="00F97290">
        <w:trPr>
          <w:cantSplit/>
          <w:jc w:val="center"/>
        </w:trPr>
        <w:tc>
          <w:tcPr>
            <w:tcW w:w="2916" w:type="dxa"/>
            <w:vMerge/>
            <w:tcBorders>
              <w:left w:val="single" w:sz="12" w:space="0" w:color="auto"/>
              <w:right w:val="single" w:sz="6" w:space="0" w:color="auto"/>
            </w:tcBorders>
          </w:tcPr>
          <w:p w14:paraId="36CF57DD" w14:textId="77777777" w:rsidR="00F97290" w:rsidRPr="00FA158B" w:rsidRDefault="00F97290" w:rsidP="009532C7">
            <w:pPr>
              <w:spacing w:before="0" w:after="0"/>
            </w:pPr>
          </w:p>
        </w:tc>
        <w:tc>
          <w:tcPr>
            <w:tcW w:w="2364" w:type="dxa"/>
            <w:vMerge/>
            <w:tcBorders>
              <w:left w:val="single" w:sz="6" w:space="0" w:color="auto"/>
              <w:right w:val="single" w:sz="6" w:space="0" w:color="auto"/>
            </w:tcBorders>
          </w:tcPr>
          <w:p w14:paraId="4B6A857D" w14:textId="77777777" w:rsidR="00F97290" w:rsidRPr="00FA158B" w:rsidRDefault="00F97290" w:rsidP="009532C7">
            <w:pPr>
              <w:spacing w:before="0" w:after="0"/>
            </w:pPr>
          </w:p>
        </w:tc>
        <w:tc>
          <w:tcPr>
            <w:tcW w:w="1159" w:type="dxa"/>
            <w:tcBorders>
              <w:top w:val="single" w:sz="6" w:space="0" w:color="auto"/>
              <w:left w:val="single" w:sz="6" w:space="0" w:color="auto"/>
              <w:bottom w:val="single" w:sz="6" w:space="0" w:color="auto"/>
              <w:right w:val="single" w:sz="6" w:space="0" w:color="auto"/>
            </w:tcBorders>
          </w:tcPr>
          <w:p w14:paraId="508FDBD5" w14:textId="77777777" w:rsidR="00F97290" w:rsidRPr="00FA158B" w:rsidRDefault="00F97290" w:rsidP="009532C7">
            <w:pPr>
              <w:spacing w:before="0" w:after="0"/>
              <w:jc w:val="center"/>
            </w:pPr>
            <w:r w:rsidRPr="00FA158B">
              <w:t>2</w:t>
            </w:r>
          </w:p>
        </w:tc>
        <w:tc>
          <w:tcPr>
            <w:tcW w:w="1286" w:type="dxa"/>
            <w:tcBorders>
              <w:top w:val="single" w:sz="6" w:space="0" w:color="auto"/>
              <w:left w:val="single" w:sz="6" w:space="0" w:color="auto"/>
              <w:bottom w:val="single" w:sz="6" w:space="0" w:color="auto"/>
              <w:right w:val="single" w:sz="12" w:space="0" w:color="auto"/>
            </w:tcBorders>
          </w:tcPr>
          <w:p w14:paraId="39F168E6" w14:textId="77777777" w:rsidR="00F97290" w:rsidRPr="00FA158B" w:rsidRDefault="00F97290" w:rsidP="009532C7">
            <w:pPr>
              <w:spacing w:before="0" w:after="0"/>
              <w:jc w:val="center"/>
            </w:pPr>
            <w:r w:rsidRPr="00FA158B">
              <w:t>10</w:t>
            </w:r>
          </w:p>
        </w:tc>
      </w:tr>
      <w:tr w:rsidR="00F97290" w:rsidRPr="00FA158B" w14:paraId="7F953C8B" w14:textId="77777777" w:rsidTr="00F97290">
        <w:trPr>
          <w:cantSplit/>
          <w:jc w:val="center"/>
        </w:trPr>
        <w:tc>
          <w:tcPr>
            <w:tcW w:w="2916" w:type="dxa"/>
            <w:vMerge/>
            <w:tcBorders>
              <w:left w:val="single" w:sz="12" w:space="0" w:color="auto"/>
              <w:right w:val="single" w:sz="6" w:space="0" w:color="auto"/>
            </w:tcBorders>
          </w:tcPr>
          <w:p w14:paraId="512F2EAA" w14:textId="77777777" w:rsidR="00F97290" w:rsidRPr="00FA158B" w:rsidRDefault="00F97290" w:rsidP="009532C7">
            <w:pPr>
              <w:spacing w:before="0" w:after="0"/>
            </w:pPr>
          </w:p>
        </w:tc>
        <w:tc>
          <w:tcPr>
            <w:tcW w:w="2364" w:type="dxa"/>
            <w:vMerge/>
            <w:tcBorders>
              <w:left w:val="single" w:sz="6" w:space="0" w:color="auto"/>
              <w:right w:val="single" w:sz="6" w:space="0" w:color="auto"/>
            </w:tcBorders>
          </w:tcPr>
          <w:p w14:paraId="1A1E18BC" w14:textId="77777777" w:rsidR="00F97290" w:rsidRPr="00FA158B" w:rsidRDefault="00F97290" w:rsidP="009532C7">
            <w:pPr>
              <w:spacing w:before="0" w:after="0"/>
            </w:pPr>
          </w:p>
        </w:tc>
        <w:tc>
          <w:tcPr>
            <w:tcW w:w="1159" w:type="dxa"/>
            <w:tcBorders>
              <w:top w:val="single" w:sz="6" w:space="0" w:color="auto"/>
              <w:left w:val="single" w:sz="6" w:space="0" w:color="auto"/>
              <w:bottom w:val="single" w:sz="6" w:space="0" w:color="auto"/>
              <w:right w:val="single" w:sz="6" w:space="0" w:color="auto"/>
            </w:tcBorders>
          </w:tcPr>
          <w:p w14:paraId="0FA7AA22" w14:textId="77777777" w:rsidR="00F97290" w:rsidRPr="00FA158B" w:rsidRDefault="00F97290" w:rsidP="009532C7">
            <w:pPr>
              <w:spacing w:before="0" w:after="0"/>
              <w:jc w:val="center"/>
            </w:pPr>
            <w:r w:rsidRPr="00FA158B">
              <w:t>3</w:t>
            </w:r>
          </w:p>
        </w:tc>
        <w:tc>
          <w:tcPr>
            <w:tcW w:w="1286" w:type="dxa"/>
            <w:tcBorders>
              <w:top w:val="single" w:sz="6" w:space="0" w:color="auto"/>
              <w:left w:val="single" w:sz="6" w:space="0" w:color="auto"/>
              <w:bottom w:val="single" w:sz="6" w:space="0" w:color="auto"/>
              <w:right w:val="single" w:sz="12" w:space="0" w:color="auto"/>
            </w:tcBorders>
          </w:tcPr>
          <w:p w14:paraId="2E3698EB" w14:textId="77777777" w:rsidR="00F97290" w:rsidRPr="00FA158B" w:rsidRDefault="00F97290" w:rsidP="009532C7">
            <w:pPr>
              <w:spacing w:before="0" w:after="0"/>
              <w:jc w:val="center"/>
            </w:pPr>
            <w:r w:rsidRPr="00FA158B">
              <w:t>3</w:t>
            </w:r>
          </w:p>
        </w:tc>
      </w:tr>
      <w:tr w:rsidR="00F97290" w:rsidRPr="00FA158B" w14:paraId="4CD28903" w14:textId="77777777" w:rsidTr="00F97290">
        <w:trPr>
          <w:cantSplit/>
          <w:jc w:val="center"/>
        </w:trPr>
        <w:tc>
          <w:tcPr>
            <w:tcW w:w="2916" w:type="dxa"/>
            <w:vMerge/>
            <w:tcBorders>
              <w:left w:val="single" w:sz="12" w:space="0" w:color="auto"/>
              <w:bottom w:val="single" w:sz="12" w:space="0" w:color="auto"/>
              <w:right w:val="single" w:sz="6" w:space="0" w:color="auto"/>
            </w:tcBorders>
          </w:tcPr>
          <w:p w14:paraId="1B40A426" w14:textId="77777777" w:rsidR="00F97290" w:rsidRPr="00FA158B" w:rsidRDefault="00F97290" w:rsidP="009C3752"/>
        </w:tc>
        <w:tc>
          <w:tcPr>
            <w:tcW w:w="2364" w:type="dxa"/>
            <w:vMerge/>
            <w:tcBorders>
              <w:left w:val="single" w:sz="6" w:space="0" w:color="auto"/>
              <w:bottom w:val="single" w:sz="12" w:space="0" w:color="auto"/>
              <w:right w:val="single" w:sz="6" w:space="0" w:color="auto"/>
            </w:tcBorders>
          </w:tcPr>
          <w:p w14:paraId="19E5FED4" w14:textId="77777777" w:rsidR="00F97290" w:rsidRPr="00FA158B" w:rsidRDefault="00F97290" w:rsidP="0005723B">
            <w:pPr>
              <w:spacing w:before="0"/>
            </w:pPr>
          </w:p>
        </w:tc>
        <w:tc>
          <w:tcPr>
            <w:tcW w:w="1159" w:type="dxa"/>
            <w:tcBorders>
              <w:top w:val="single" w:sz="6" w:space="0" w:color="auto"/>
              <w:left w:val="single" w:sz="6" w:space="0" w:color="auto"/>
              <w:bottom w:val="single" w:sz="12" w:space="0" w:color="auto"/>
              <w:right w:val="single" w:sz="6" w:space="0" w:color="auto"/>
            </w:tcBorders>
          </w:tcPr>
          <w:p w14:paraId="276DC743" w14:textId="77777777" w:rsidR="00F97290" w:rsidRPr="00FA158B" w:rsidRDefault="00F97290" w:rsidP="0005723B">
            <w:pPr>
              <w:spacing w:before="0" w:after="0"/>
              <w:jc w:val="center"/>
            </w:pPr>
            <w:r w:rsidRPr="00FA158B">
              <w:t>4</w:t>
            </w:r>
          </w:p>
        </w:tc>
        <w:tc>
          <w:tcPr>
            <w:tcW w:w="1286" w:type="dxa"/>
            <w:tcBorders>
              <w:top w:val="single" w:sz="6" w:space="0" w:color="auto"/>
              <w:left w:val="single" w:sz="6" w:space="0" w:color="auto"/>
              <w:bottom w:val="single" w:sz="12" w:space="0" w:color="auto"/>
              <w:right w:val="single" w:sz="12" w:space="0" w:color="auto"/>
            </w:tcBorders>
          </w:tcPr>
          <w:p w14:paraId="39820A51" w14:textId="77777777" w:rsidR="00F97290" w:rsidRPr="00FA158B" w:rsidRDefault="00F97290" w:rsidP="0005723B">
            <w:pPr>
              <w:spacing w:before="0" w:after="0"/>
              <w:jc w:val="center"/>
            </w:pPr>
            <w:r w:rsidRPr="00FA158B">
              <w:t>2</w:t>
            </w:r>
          </w:p>
        </w:tc>
      </w:tr>
    </w:tbl>
    <w:p w14:paraId="43DF0BC9" w14:textId="7FFEAA06" w:rsidR="00F97290" w:rsidRDefault="00F97290" w:rsidP="009C3752">
      <w:r w:rsidRPr="00FA158B">
        <w:t>La valeur de l'engagement standard correspondant au Site est précisée dans le Contrat Unique concerné.</w:t>
      </w:r>
    </w:p>
    <w:p w14:paraId="67CD97D2" w14:textId="4B36D653" w:rsidR="00DE2C37" w:rsidRDefault="00DE2C37" w:rsidP="009C3752"/>
    <w:p w14:paraId="11C9055F" w14:textId="77777777" w:rsidR="00DE2C37" w:rsidRPr="00FA158B" w:rsidRDefault="00DE2C37" w:rsidP="009C3752"/>
    <w:p w14:paraId="2FCE983A" w14:textId="29B6F9FF" w:rsidR="00F97290" w:rsidRPr="00FA158B" w:rsidRDefault="00F97290" w:rsidP="000C0CCD">
      <w:pPr>
        <w:pStyle w:val="Titre4"/>
      </w:pPr>
      <w:r w:rsidRPr="00FA158B">
        <w:t xml:space="preserve">Modalités de décompte du nombre de Coupures (engagement </w:t>
      </w:r>
      <w:proofErr w:type="gramStart"/>
      <w:r w:rsidRPr="00FA158B">
        <w:t xml:space="preserve">standard </w:t>
      </w:r>
      <w:r w:rsidR="00DE2C37">
        <w:t>)</w:t>
      </w:r>
      <w:proofErr w:type="gramEnd"/>
    </w:p>
    <w:p w14:paraId="23B2C2B0" w14:textId="77777777" w:rsidR="00F97290" w:rsidRPr="00FA158B" w:rsidRDefault="00F97290" w:rsidP="009C3752">
      <w:r w:rsidRPr="00FA158B">
        <w:t>Le décompte des Coupures est fait par Point de Livraison sur la base des éléments suivants :</w:t>
      </w:r>
    </w:p>
    <w:p w14:paraId="1BE396B5" w14:textId="77777777" w:rsidR="00F97290" w:rsidRPr="00FA158B" w:rsidRDefault="00F97290" w:rsidP="0004412B">
      <w:pPr>
        <w:pStyle w:val="SPuce"/>
      </w:pPr>
      <w:proofErr w:type="gramStart"/>
      <w:r w:rsidRPr="00FA158B">
        <w:t>le</w:t>
      </w:r>
      <w:proofErr w:type="gramEnd"/>
      <w:r w:rsidRPr="00FA158B">
        <w:t xml:space="preserve"> schéma complet de raccordement du Client (Alimentation(s) Principale(s), Complémentaire(s), de Secours) ainsi que les éventuels dispositifs de bascule automatique ou manuelle ;</w:t>
      </w:r>
    </w:p>
    <w:p w14:paraId="05195D26" w14:textId="77777777" w:rsidR="00F97290" w:rsidRPr="00FA158B" w:rsidRDefault="00F97290" w:rsidP="0004412B">
      <w:pPr>
        <w:pStyle w:val="SPuce"/>
      </w:pPr>
      <w:proofErr w:type="gramStart"/>
      <w:r w:rsidRPr="00FA158B">
        <w:t>le</w:t>
      </w:r>
      <w:proofErr w:type="gramEnd"/>
      <w:r w:rsidRPr="00FA158B">
        <w:t xml:space="preserve"> cas échéant, le schéma d'exploitation en temps réel ;</w:t>
      </w:r>
    </w:p>
    <w:p w14:paraId="3917218B" w14:textId="4A4CF509" w:rsidR="00F97290" w:rsidRPr="00FA158B" w:rsidRDefault="00F97290" w:rsidP="0004412B">
      <w:pPr>
        <w:pStyle w:val="SPuce"/>
      </w:pPr>
      <w:proofErr w:type="gramStart"/>
      <w:r w:rsidRPr="00FA158B">
        <w:t>le</w:t>
      </w:r>
      <w:proofErr w:type="gramEnd"/>
      <w:r w:rsidRPr="00FA158B">
        <w:t xml:space="preserve"> respect ou non par le Client et </w:t>
      </w:r>
      <w:r w:rsidR="0076712A">
        <w:t>le GRD</w:t>
      </w:r>
      <w:r w:rsidR="0076712A" w:rsidRPr="00FA158B">
        <w:t xml:space="preserve"> </w:t>
      </w:r>
      <w:r w:rsidRPr="00FA158B">
        <w:t>des règles d'exploitation définies dans la Convention d'Exploitation lorsqu'elle existe.</w:t>
      </w:r>
    </w:p>
    <w:p w14:paraId="476EA7D0" w14:textId="68C26D8D" w:rsidR="00F97290" w:rsidRDefault="00F97290" w:rsidP="009C3752">
      <w:r w:rsidRPr="00FA158B">
        <w:lastRenderedPageBreak/>
        <w:t>Le tableau ci-dessous présente les principes de comptabilisation des Coupures pour un schéma-type de raccordement composé d'une Alimentation Principale et d'une Alimentation de Secours.</w:t>
      </w:r>
    </w:p>
    <w:p w14:paraId="03EAFDCC" w14:textId="77777777" w:rsidR="00C94E67" w:rsidRPr="00FA158B" w:rsidRDefault="00C94E67" w:rsidP="009C3752"/>
    <w:tbl>
      <w:tblPr>
        <w:tblW w:w="4300" w:type="pct"/>
        <w:tblInd w:w="7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50"/>
        <w:gridCol w:w="2948"/>
        <w:gridCol w:w="2950"/>
      </w:tblGrid>
      <w:tr w:rsidR="00F97290" w:rsidRPr="00FA158B" w14:paraId="66DBFF4E" w14:textId="77777777" w:rsidTr="0005723B">
        <w:tc>
          <w:tcPr>
            <w:tcW w:w="1667" w:type="pct"/>
            <w:vAlign w:val="center"/>
          </w:tcPr>
          <w:p w14:paraId="7B28B9FD" w14:textId="77777777" w:rsidR="00F97290" w:rsidRPr="00FA158B" w:rsidRDefault="00F97290" w:rsidP="0005723B">
            <w:pPr>
              <w:spacing w:before="0" w:after="0"/>
              <w:jc w:val="left"/>
            </w:pPr>
            <w:r w:rsidRPr="00FA158B">
              <w:t>Alimentation Principale</w:t>
            </w:r>
          </w:p>
        </w:tc>
        <w:tc>
          <w:tcPr>
            <w:tcW w:w="1666" w:type="pct"/>
            <w:vAlign w:val="center"/>
          </w:tcPr>
          <w:p w14:paraId="64742089" w14:textId="77777777" w:rsidR="00F97290" w:rsidRPr="00FA158B" w:rsidRDefault="00F97290" w:rsidP="0005723B">
            <w:pPr>
              <w:spacing w:before="0" w:after="0"/>
              <w:jc w:val="left"/>
            </w:pPr>
            <w:r w:rsidRPr="00FA158B">
              <w:t>Alimentation de Secours</w:t>
            </w:r>
          </w:p>
        </w:tc>
        <w:tc>
          <w:tcPr>
            <w:tcW w:w="1667" w:type="pct"/>
            <w:vAlign w:val="center"/>
          </w:tcPr>
          <w:p w14:paraId="56110AE6" w14:textId="77777777" w:rsidR="00F97290" w:rsidRPr="00FA158B" w:rsidRDefault="00F97290" w:rsidP="0005723B">
            <w:pPr>
              <w:spacing w:before="0" w:after="0"/>
              <w:jc w:val="left"/>
            </w:pPr>
            <w:r w:rsidRPr="00FA158B">
              <w:t>Décompte global</w:t>
            </w:r>
          </w:p>
        </w:tc>
      </w:tr>
      <w:tr w:rsidR="00F97290" w:rsidRPr="00FA158B" w14:paraId="4DD96AD3" w14:textId="77777777" w:rsidTr="0005723B">
        <w:trPr>
          <w:trHeight w:val="284"/>
        </w:trPr>
        <w:tc>
          <w:tcPr>
            <w:tcW w:w="1667" w:type="pct"/>
            <w:vAlign w:val="center"/>
          </w:tcPr>
          <w:p w14:paraId="20DE46CD" w14:textId="77777777" w:rsidR="00F97290" w:rsidRPr="00FA158B" w:rsidRDefault="00F97290" w:rsidP="0005723B">
            <w:pPr>
              <w:spacing w:before="0" w:after="0"/>
              <w:jc w:val="left"/>
            </w:pPr>
            <w:r w:rsidRPr="00FA158B">
              <w:t>Disponible</w:t>
            </w:r>
          </w:p>
        </w:tc>
        <w:tc>
          <w:tcPr>
            <w:tcW w:w="1666" w:type="pct"/>
            <w:vAlign w:val="center"/>
          </w:tcPr>
          <w:p w14:paraId="0A4EFCCB" w14:textId="77777777" w:rsidR="00F97290" w:rsidRPr="00FA158B" w:rsidRDefault="00F97290" w:rsidP="0005723B">
            <w:pPr>
              <w:spacing w:before="0" w:after="0"/>
              <w:jc w:val="left"/>
            </w:pPr>
            <w:r w:rsidRPr="00FA158B">
              <w:t>CB ou CL</w:t>
            </w:r>
          </w:p>
        </w:tc>
        <w:tc>
          <w:tcPr>
            <w:tcW w:w="1667" w:type="pct"/>
            <w:vAlign w:val="center"/>
          </w:tcPr>
          <w:p w14:paraId="1344B4D1" w14:textId="77777777" w:rsidR="00F97290" w:rsidRPr="00FA158B" w:rsidRDefault="00F97290" w:rsidP="0005723B">
            <w:pPr>
              <w:spacing w:before="0" w:after="0"/>
              <w:jc w:val="left"/>
            </w:pPr>
            <w:r w:rsidRPr="00FA158B">
              <w:t>0</w:t>
            </w:r>
          </w:p>
        </w:tc>
      </w:tr>
      <w:tr w:rsidR="00F97290" w:rsidRPr="00FA158B" w14:paraId="2E8BC8CD" w14:textId="77777777" w:rsidTr="0005723B">
        <w:tc>
          <w:tcPr>
            <w:tcW w:w="1667" w:type="pct"/>
            <w:vAlign w:val="center"/>
          </w:tcPr>
          <w:p w14:paraId="28E403A2" w14:textId="77777777" w:rsidR="00F97290" w:rsidRPr="00FA158B" w:rsidRDefault="00F97290" w:rsidP="0005723B">
            <w:pPr>
              <w:spacing w:before="0" w:after="0"/>
              <w:jc w:val="left"/>
            </w:pPr>
            <w:r w:rsidRPr="00FA158B">
              <w:t>CB</w:t>
            </w:r>
          </w:p>
        </w:tc>
        <w:tc>
          <w:tcPr>
            <w:tcW w:w="1666" w:type="pct"/>
            <w:vAlign w:val="center"/>
          </w:tcPr>
          <w:p w14:paraId="4E6C35AB" w14:textId="77777777" w:rsidR="00F97290" w:rsidRPr="00FA158B" w:rsidRDefault="00F97290" w:rsidP="0005723B">
            <w:pPr>
              <w:spacing w:before="0" w:after="0"/>
              <w:jc w:val="left"/>
            </w:pPr>
            <w:proofErr w:type="gramStart"/>
            <w:r w:rsidRPr="00FA158B">
              <w:t>disponible</w:t>
            </w:r>
            <w:proofErr w:type="gramEnd"/>
            <w:r w:rsidRPr="00FA158B">
              <w:t xml:space="preserve"> ou consignée ou CB ou CL</w:t>
            </w:r>
          </w:p>
        </w:tc>
        <w:tc>
          <w:tcPr>
            <w:tcW w:w="1667" w:type="pct"/>
            <w:vAlign w:val="center"/>
          </w:tcPr>
          <w:p w14:paraId="2853B677" w14:textId="77777777" w:rsidR="00F97290" w:rsidRPr="00FA158B" w:rsidRDefault="00F97290" w:rsidP="0005723B">
            <w:pPr>
              <w:spacing w:before="0" w:after="0"/>
              <w:jc w:val="left"/>
            </w:pPr>
            <w:r w:rsidRPr="00FA158B">
              <w:t>CB</w:t>
            </w:r>
          </w:p>
        </w:tc>
      </w:tr>
      <w:tr w:rsidR="00F97290" w:rsidRPr="00FA158B" w14:paraId="74D92100" w14:textId="77777777" w:rsidTr="0005723B">
        <w:trPr>
          <w:cantSplit/>
        </w:trPr>
        <w:tc>
          <w:tcPr>
            <w:tcW w:w="1667" w:type="pct"/>
            <w:vMerge w:val="restart"/>
            <w:vAlign w:val="center"/>
          </w:tcPr>
          <w:p w14:paraId="43A32495" w14:textId="77777777" w:rsidR="00F97290" w:rsidRPr="00FA158B" w:rsidRDefault="00F97290" w:rsidP="0005723B">
            <w:pPr>
              <w:spacing w:before="0" w:after="0"/>
              <w:jc w:val="left"/>
            </w:pPr>
            <w:r w:rsidRPr="00FA158B">
              <w:t>CL</w:t>
            </w:r>
          </w:p>
        </w:tc>
        <w:tc>
          <w:tcPr>
            <w:tcW w:w="1666" w:type="pct"/>
            <w:vAlign w:val="center"/>
          </w:tcPr>
          <w:p w14:paraId="64BF463D" w14:textId="77777777" w:rsidR="00F97290" w:rsidRPr="00FA158B" w:rsidRDefault="00F97290" w:rsidP="0005723B">
            <w:pPr>
              <w:spacing w:before="0" w:after="0"/>
              <w:jc w:val="left"/>
            </w:pPr>
            <w:proofErr w:type="gramStart"/>
            <w:r w:rsidRPr="00FA158B">
              <w:t>disponible</w:t>
            </w:r>
            <w:proofErr w:type="gramEnd"/>
            <w:r w:rsidRPr="00FA158B">
              <w:t xml:space="preserve"> ou CB</w:t>
            </w:r>
          </w:p>
        </w:tc>
        <w:tc>
          <w:tcPr>
            <w:tcW w:w="1667" w:type="pct"/>
            <w:vAlign w:val="center"/>
          </w:tcPr>
          <w:p w14:paraId="18F67166" w14:textId="77777777" w:rsidR="00F97290" w:rsidRPr="00FA158B" w:rsidRDefault="00F97290" w:rsidP="0005723B">
            <w:pPr>
              <w:spacing w:before="0" w:after="0"/>
              <w:jc w:val="left"/>
            </w:pPr>
            <w:r w:rsidRPr="00FA158B">
              <w:t>CB si la bascule manuelle a fonctionné en moins de 3 min ou si la bascule est automatique (*)</w:t>
            </w:r>
          </w:p>
          <w:p w14:paraId="4169045C" w14:textId="77777777" w:rsidR="00F97290" w:rsidRPr="00FA158B" w:rsidRDefault="00F97290" w:rsidP="0005723B">
            <w:pPr>
              <w:spacing w:before="0" w:after="0"/>
              <w:jc w:val="left"/>
            </w:pPr>
            <w:r w:rsidRPr="00FA158B">
              <w:t>CL si la bascule manuelle a fonctionné en plus de 3 min</w:t>
            </w:r>
          </w:p>
        </w:tc>
      </w:tr>
      <w:tr w:rsidR="00F97290" w:rsidRPr="00FA158B" w14:paraId="0D799F5F" w14:textId="77777777" w:rsidTr="0005723B">
        <w:trPr>
          <w:cantSplit/>
          <w:trHeight w:val="284"/>
        </w:trPr>
        <w:tc>
          <w:tcPr>
            <w:tcW w:w="1667" w:type="pct"/>
            <w:vMerge/>
            <w:vAlign w:val="center"/>
          </w:tcPr>
          <w:p w14:paraId="48D3E633" w14:textId="77777777" w:rsidR="00F97290" w:rsidRPr="00FA158B" w:rsidRDefault="00F97290" w:rsidP="0005723B">
            <w:pPr>
              <w:spacing w:before="0" w:after="0"/>
              <w:jc w:val="left"/>
            </w:pPr>
          </w:p>
        </w:tc>
        <w:tc>
          <w:tcPr>
            <w:tcW w:w="1666" w:type="pct"/>
            <w:vAlign w:val="center"/>
          </w:tcPr>
          <w:p w14:paraId="04330D45" w14:textId="77777777" w:rsidR="00F97290" w:rsidRPr="00FA158B" w:rsidRDefault="00F97290" w:rsidP="0005723B">
            <w:pPr>
              <w:spacing w:before="0" w:after="0"/>
              <w:jc w:val="left"/>
            </w:pPr>
            <w:proofErr w:type="gramStart"/>
            <w:r w:rsidRPr="00FA158B">
              <w:t>consignée</w:t>
            </w:r>
            <w:proofErr w:type="gramEnd"/>
            <w:r w:rsidRPr="00FA158B">
              <w:t xml:space="preserve"> ou CL</w:t>
            </w:r>
          </w:p>
        </w:tc>
        <w:tc>
          <w:tcPr>
            <w:tcW w:w="1667" w:type="pct"/>
            <w:vAlign w:val="center"/>
          </w:tcPr>
          <w:p w14:paraId="3590C245" w14:textId="77777777" w:rsidR="00F97290" w:rsidRPr="00FA158B" w:rsidRDefault="00F97290" w:rsidP="0005723B">
            <w:pPr>
              <w:spacing w:before="0" w:after="0"/>
              <w:jc w:val="left"/>
            </w:pPr>
            <w:r w:rsidRPr="00FA158B">
              <w:t>CL</w:t>
            </w:r>
          </w:p>
        </w:tc>
      </w:tr>
      <w:tr w:rsidR="00F97290" w:rsidRPr="00FA158B" w14:paraId="28AA9F6E" w14:textId="77777777" w:rsidTr="0005723B">
        <w:trPr>
          <w:cantSplit/>
          <w:trHeight w:hRule="exact" w:val="284"/>
        </w:trPr>
        <w:tc>
          <w:tcPr>
            <w:tcW w:w="1667" w:type="pct"/>
            <w:vMerge w:val="restart"/>
            <w:vAlign w:val="center"/>
          </w:tcPr>
          <w:p w14:paraId="0DE3ABDF" w14:textId="77777777" w:rsidR="00F97290" w:rsidRPr="00FA158B" w:rsidRDefault="00F97290" w:rsidP="0005723B">
            <w:pPr>
              <w:spacing w:before="0" w:after="0"/>
              <w:jc w:val="left"/>
            </w:pPr>
            <w:r w:rsidRPr="00FA158B">
              <w:t>Consignée ou indisponible</w:t>
            </w:r>
          </w:p>
        </w:tc>
        <w:tc>
          <w:tcPr>
            <w:tcW w:w="1666" w:type="pct"/>
            <w:vAlign w:val="center"/>
          </w:tcPr>
          <w:p w14:paraId="724551DD" w14:textId="77777777" w:rsidR="00F97290" w:rsidRPr="00FA158B" w:rsidRDefault="00F97290" w:rsidP="0005723B">
            <w:pPr>
              <w:spacing w:before="0" w:after="0"/>
              <w:jc w:val="left"/>
            </w:pPr>
            <w:r w:rsidRPr="00FA158B">
              <w:t>CB</w:t>
            </w:r>
          </w:p>
        </w:tc>
        <w:tc>
          <w:tcPr>
            <w:tcW w:w="1667" w:type="pct"/>
            <w:vAlign w:val="center"/>
          </w:tcPr>
          <w:p w14:paraId="686292E7" w14:textId="77777777" w:rsidR="00F97290" w:rsidRPr="00FA158B" w:rsidRDefault="00F97290" w:rsidP="0005723B">
            <w:pPr>
              <w:spacing w:before="0" w:after="0"/>
              <w:jc w:val="left"/>
            </w:pPr>
            <w:r w:rsidRPr="00FA158B">
              <w:t>CB</w:t>
            </w:r>
          </w:p>
        </w:tc>
      </w:tr>
      <w:tr w:rsidR="00F97290" w:rsidRPr="00FA158B" w14:paraId="77CA7233" w14:textId="77777777" w:rsidTr="0005723B">
        <w:trPr>
          <w:cantSplit/>
          <w:trHeight w:hRule="exact" w:val="284"/>
        </w:trPr>
        <w:tc>
          <w:tcPr>
            <w:tcW w:w="1667" w:type="pct"/>
            <w:vMerge/>
          </w:tcPr>
          <w:p w14:paraId="34B30DF0" w14:textId="77777777" w:rsidR="00F97290" w:rsidRPr="00FA158B" w:rsidRDefault="00F97290" w:rsidP="0005723B">
            <w:pPr>
              <w:spacing w:before="0" w:after="0"/>
              <w:jc w:val="left"/>
            </w:pPr>
          </w:p>
        </w:tc>
        <w:tc>
          <w:tcPr>
            <w:tcW w:w="1666" w:type="pct"/>
            <w:vAlign w:val="center"/>
          </w:tcPr>
          <w:p w14:paraId="542A74E5" w14:textId="77777777" w:rsidR="00F97290" w:rsidRPr="00FA158B" w:rsidRDefault="00F97290" w:rsidP="0005723B">
            <w:pPr>
              <w:spacing w:before="0" w:after="0"/>
              <w:jc w:val="left"/>
            </w:pPr>
            <w:r w:rsidRPr="00FA158B">
              <w:t>CL</w:t>
            </w:r>
          </w:p>
        </w:tc>
        <w:tc>
          <w:tcPr>
            <w:tcW w:w="1667" w:type="pct"/>
            <w:vAlign w:val="center"/>
          </w:tcPr>
          <w:p w14:paraId="7BD364AE" w14:textId="77777777" w:rsidR="00F97290" w:rsidRPr="00FA158B" w:rsidRDefault="00F97290" w:rsidP="0005723B">
            <w:pPr>
              <w:spacing w:before="0" w:after="0"/>
              <w:jc w:val="left"/>
            </w:pPr>
            <w:r w:rsidRPr="00FA158B">
              <w:t>CL</w:t>
            </w:r>
          </w:p>
        </w:tc>
      </w:tr>
    </w:tbl>
    <w:p w14:paraId="2C8C0CA2" w14:textId="77777777" w:rsidR="00F97290" w:rsidRPr="00FA158B" w:rsidRDefault="00F97290" w:rsidP="00D3365D">
      <w:pPr>
        <w:spacing w:after="0"/>
      </w:pPr>
      <w:r w:rsidRPr="00FA158B">
        <w:t>CB : Coupure Brève</w:t>
      </w:r>
      <w:r w:rsidRPr="00FA158B">
        <w:tab/>
      </w:r>
      <w:r w:rsidRPr="00FA158B">
        <w:tab/>
        <w:t>CL : Coupure Longue</w:t>
      </w:r>
    </w:p>
    <w:p w14:paraId="13CD714E" w14:textId="77777777" w:rsidR="00F97290" w:rsidRPr="00FA158B" w:rsidRDefault="00F97290" w:rsidP="009C3752">
      <w:r w:rsidRPr="00FA158B">
        <w:t>(*) que la bascule ait fonctionné ou non</w:t>
      </w:r>
    </w:p>
    <w:p w14:paraId="4B8077A1" w14:textId="77777777" w:rsidR="00F97290" w:rsidRPr="00FA158B" w:rsidRDefault="00F97290" w:rsidP="00D3365D">
      <w:pPr>
        <w:spacing w:before="240"/>
      </w:pPr>
      <w:r w:rsidRPr="00FA158B">
        <w:t>Les schémas de raccordement plus complexes sont étudiés au cas par cas et peuvent donner lieu à un tableau spécifique qui figure alors dans le Contrat Unique concerné.</w:t>
      </w:r>
    </w:p>
    <w:p w14:paraId="1A7A4178" w14:textId="77777777" w:rsidR="00F97290" w:rsidRPr="00FA158B" w:rsidRDefault="00F97290" w:rsidP="009C3752">
      <w:r w:rsidRPr="00FA158B">
        <w:t>Les Coupures susceptibles de survenir, du fait des manœuvres d’exploitation ou des fonctionnements d’automatismes, dans l’heure q</w:t>
      </w:r>
      <w:r w:rsidR="00710023" w:rsidRPr="00FA158B">
        <w:t>ui suit le début d’une Coupure L</w:t>
      </w:r>
      <w:r w:rsidRPr="00FA158B">
        <w:t xml:space="preserve">ongue ne sont pas comptabilisées, dès lors qu'elles concernent l'incident à l'origine de ladite </w:t>
      </w:r>
      <w:r w:rsidR="00710023" w:rsidRPr="00FA158B">
        <w:t>Coupure. De même, les Coupures B</w:t>
      </w:r>
      <w:r w:rsidRPr="00FA158B">
        <w:t xml:space="preserve">rèves résultant du fonctionnement des protections et automatismes et précédant d’au plus deux minutes les Coupures </w:t>
      </w:r>
      <w:r w:rsidR="00710023" w:rsidRPr="00FA158B">
        <w:t>Longues ou B</w:t>
      </w:r>
      <w:r w:rsidRPr="00FA158B">
        <w:t>rèves ne sont pas comptabilisées.</w:t>
      </w:r>
    </w:p>
    <w:p w14:paraId="5F2E543C" w14:textId="77777777" w:rsidR="00F97290" w:rsidRPr="00FA158B" w:rsidRDefault="00D3365D" w:rsidP="000C0CCD">
      <w:pPr>
        <w:pStyle w:val="Titre4"/>
      </w:pPr>
      <w:bookmarkStart w:id="248" w:name="_Ref58397695"/>
      <w:bookmarkEnd w:id="233"/>
      <w:r w:rsidRPr="00FA158B">
        <w:t>Mécanisme de pénalité pour les Coupures Longues</w:t>
      </w:r>
    </w:p>
    <w:p w14:paraId="0F62721E" w14:textId="05612F78" w:rsidR="00D3365D" w:rsidRPr="00FA158B" w:rsidRDefault="0076712A" w:rsidP="00D3365D">
      <w:r>
        <w:t>Le GRD</w:t>
      </w:r>
      <w:r w:rsidRPr="00FA158B">
        <w:t xml:space="preserve"> </w:t>
      </w:r>
      <w:r w:rsidR="00D3365D" w:rsidRPr="00FA158B">
        <w:t xml:space="preserve">verse automatiquement, au bénéfice du Client concerné, le cas échéant via son Fournisseur, une pénalité pour toute Coupure Longue d’une durée supérieure à celle fixée par la délibération de la CRE en vigueur relative aux tarifs d’utilisation du RPD. </w:t>
      </w:r>
    </w:p>
    <w:p w14:paraId="4EC0A717" w14:textId="7C66AFDC" w:rsidR="00D3365D" w:rsidRPr="00FA158B" w:rsidRDefault="00D3365D" w:rsidP="00D3365D">
      <w:r w:rsidRPr="00FA158B">
        <w:t>Le montant et les conditions d’application de cette pénalité sont définis conformément aux dispositions de la délibération de la CRE en vigueur relative aux tarifs d’utilisation du RPD.</w:t>
      </w:r>
      <w:r w:rsidR="00663E35" w:rsidRPr="00FA158B">
        <w:t xml:space="preserve"> A titre d’information, dans la délibération de la CRE du </w:t>
      </w:r>
      <w:r w:rsidR="00F33F39" w:rsidRPr="00FA158B">
        <w:t>17 novembre 2016</w:t>
      </w:r>
      <w:r w:rsidR="00663E35" w:rsidRPr="00FA158B">
        <w:t xml:space="preserve"> relative aux tarifs d’utilisation du RPD, cette pénalité est versée pour toute coupure de plus de </w:t>
      </w:r>
      <w:r w:rsidR="000331C0" w:rsidRPr="00FA158B">
        <w:t xml:space="preserve">cinq </w:t>
      </w:r>
      <w:r w:rsidR="00663E35" w:rsidRPr="00FA158B">
        <w:t xml:space="preserve">heures, imputable à une défaillance du RPD géré par </w:t>
      </w:r>
      <w:r w:rsidR="0076712A">
        <w:t>le GRD</w:t>
      </w:r>
      <w:r w:rsidR="00071030" w:rsidRPr="00FA158B">
        <w:t xml:space="preserve"> ou du RP</w:t>
      </w:r>
      <w:r w:rsidR="000801CF" w:rsidRPr="00FA158B">
        <w:t>T</w:t>
      </w:r>
      <w:r w:rsidR="00071030" w:rsidRPr="00FA158B">
        <w:t xml:space="preserve"> géré par RTE</w:t>
      </w:r>
      <w:r w:rsidR="00663E35" w:rsidRPr="00FA158B">
        <w:t xml:space="preserve">. Elle est égale </w:t>
      </w:r>
      <w:r w:rsidR="00F33F39" w:rsidRPr="00FA158B">
        <w:t xml:space="preserve">à un montant forfaitaire, décliné par niveau de tension et par tranche de </w:t>
      </w:r>
      <w:r w:rsidR="00AC23C1" w:rsidRPr="00FA158B">
        <w:t>cinq</w:t>
      </w:r>
      <w:r w:rsidR="00F33F39" w:rsidRPr="00FA158B">
        <w:t xml:space="preserve"> heures de Coupure, dans la limite de </w:t>
      </w:r>
      <w:r w:rsidR="00AC23C1" w:rsidRPr="00FA158B">
        <w:t>quarante</w:t>
      </w:r>
      <w:r w:rsidR="00F33F39" w:rsidRPr="00FA158B">
        <w:t xml:space="preserve"> tranches consécutives de </w:t>
      </w:r>
      <w:r w:rsidR="00AC23C1" w:rsidRPr="00FA158B">
        <w:t>cinq</w:t>
      </w:r>
      <w:r w:rsidR="00F33F39" w:rsidRPr="00FA158B">
        <w:t xml:space="preserve"> heures</w:t>
      </w:r>
      <w:r w:rsidRPr="00FA158B">
        <w:t xml:space="preserve">. </w:t>
      </w:r>
    </w:p>
    <w:p w14:paraId="4FD6EE0D" w14:textId="5861B3A6" w:rsidR="00F97290" w:rsidRPr="00FA158B" w:rsidRDefault="00F97290" w:rsidP="009C3752">
      <w:r w:rsidRPr="00FA158B">
        <w:t xml:space="preserve">Cette pénalité s’applique sans préjudice d’une éventuelle indemnisation du Client au titre de la responsabilité civile de droit commun </w:t>
      </w:r>
      <w:r w:rsidR="0076712A">
        <w:t>du GRD</w:t>
      </w:r>
      <w:r w:rsidRPr="00FA158B">
        <w:t>.</w:t>
      </w:r>
    </w:p>
    <w:p w14:paraId="03775A9E" w14:textId="77777777" w:rsidR="00F33F39" w:rsidRPr="00FA158B" w:rsidRDefault="00F33F39" w:rsidP="009C3752">
      <w:r w:rsidRPr="00FA158B">
        <w:t xml:space="preserve">Afin de prendre en compte les situations extrêmes, </w:t>
      </w:r>
      <w:r w:rsidR="00791F3F" w:rsidRPr="00FA158B">
        <w:t xml:space="preserve">conformément à la délibération précitée, </w:t>
      </w:r>
      <w:r w:rsidRPr="00FA158B">
        <w:t>cette pénalité n’est pas versée aux Clients concernés, en cas de Coupure de plus de 20% de l’ensemble des Clients finals alimentés directement ou indirectement par le Réseau Public de Transport.</w:t>
      </w:r>
    </w:p>
    <w:p w14:paraId="760F355B" w14:textId="00F9F6FA" w:rsidR="00D0264B" w:rsidRDefault="00F97290" w:rsidP="009C3752">
      <w:r w:rsidRPr="00FA158B">
        <w:t xml:space="preserve">En cas de regroupement conventionnel, et pour toute Coupure </w:t>
      </w:r>
      <w:r w:rsidR="00D3365D" w:rsidRPr="00FA158B">
        <w:t>d’une durée supérieure à celle fixée par la délibération de la CRE en vigueur  relative aux tarifs d’utilisation du RPD</w:t>
      </w:r>
      <w:r w:rsidRPr="00FA158B">
        <w:t xml:space="preserve"> et affectant une partie des Points de Livraison regroupés, la pénalité est calculée, pour chaque Point de Livraison coupé, selon les principes définis ci-dessus en remplaçant la Puissance Souscrite par la puissance maximale appelée du Point de Livraison définie à l’article </w:t>
      </w:r>
      <w:r w:rsidR="00983D6B" w:rsidRPr="00FA158B">
        <w:fldChar w:fldCharType="begin"/>
      </w:r>
      <w:r w:rsidR="00983D6B" w:rsidRPr="00FA158B">
        <w:instrText xml:space="preserve"> REF _Ref417390955 \r \h  \* MERGEFORMAT </w:instrText>
      </w:r>
      <w:r w:rsidR="00983D6B" w:rsidRPr="00FA158B">
        <w:fldChar w:fldCharType="separate"/>
      </w:r>
      <w:r w:rsidR="005E7E99">
        <w:t>4.1.4</w:t>
      </w:r>
      <w:r w:rsidR="00983D6B" w:rsidRPr="00FA158B">
        <w:fldChar w:fldCharType="end"/>
      </w:r>
      <w:r w:rsidRPr="00FA158B">
        <w:t>.</w:t>
      </w:r>
    </w:p>
    <w:p w14:paraId="10848C1F" w14:textId="3AA770E3" w:rsidR="002E0F8A" w:rsidRPr="00FA158B" w:rsidRDefault="002E0F8A" w:rsidP="009C3752">
      <w:r w:rsidRPr="008171E3">
        <w:t>Par ailleurs et comme l’y autorise la délibération de la CRE précitée, le GRD applique un facteur de réduction de 90% aux montants des pénalités normalement applicables en cas d’événement exceptionnel.</w:t>
      </w:r>
    </w:p>
    <w:p w14:paraId="5A56E6D7" w14:textId="3735D48D" w:rsidR="00F97290" w:rsidRPr="00FA158B" w:rsidRDefault="00F97290" w:rsidP="000C0CCD">
      <w:pPr>
        <w:pStyle w:val="Titre3"/>
      </w:pPr>
      <w:bookmarkStart w:id="249" w:name="_Toc21422454"/>
      <w:bookmarkStart w:id="250" w:name="_Ref143920999"/>
      <w:r w:rsidRPr="00FA158B">
        <w:lastRenderedPageBreak/>
        <w:t xml:space="preserve">Engagements </w:t>
      </w:r>
      <w:bookmarkEnd w:id="234"/>
      <w:bookmarkEnd w:id="235"/>
      <w:bookmarkEnd w:id="236"/>
      <w:bookmarkEnd w:id="237"/>
      <w:r w:rsidR="0076712A">
        <w:t>du GRD</w:t>
      </w:r>
      <w:r w:rsidRPr="00FA158B">
        <w:t xml:space="preserve"> sur la qualité de l’onde</w:t>
      </w:r>
      <w:bookmarkEnd w:id="249"/>
      <w:r w:rsidRPr="00FA158B">
        <w:t xml:space="preserve"> </w:t>
      </w:r>
      <w:bookmarkEnd w:id="248"/>
      <w:bookmarkEnd w:id="250"/>
    </w:p>
    <w:p w14:paraId="52E29980" w14:textId="77777777" w:rsidR="00F97290" w:rsidRPr="00FA158B" w:rsidRDefault="00F97290" w:rsidP="000C0CCD">
      <w:pPr>
        <w:pStyle w:val="Titre4"/>
      </w:pPr>
      <w:bookmarkStart w:id="251" w:name="_Toc53829207"/>
      <w:bookmarkStart w:id="252" w:name="_Ref58398319"/>
      <w:bookmarkStart w:id="253" w:name="_Ref148431872"/>
      <w:bookmarkStart w:id="254" w:name="_Ref472522455"/>
      <w:r w:rsidRPr="00FA158B">
        <w:t>Engagements standards</w:t>
      </w:r>
      <w:bookmarkEnd w:id="251"/>
      <w:bookmarkEnd w:id="252"/>
      <w:bookmarkEnd w:id="253"/>
      <w:bookmarkEnd w:id="254"/>
    </w:p>
    <w:p w14:paraId="5A27A3B5" w14:textId="2727F89F" w:rsidR="00F97290" w:rsidRPr="00FA158B" w:rsidRDefault="00F97290" w:rsidP="009C3752">
      <w:r w:rsidRPr="00FA158B">
        <w:t xml:space="preserve">Les engagements standards </w:t>
      </w:r>
      <w:r w:rsidR="0076712A">
        <w:t>du GRD</w:t>
      </w:r>
      <w:r w:rsidRPr="00FA158B">
        <w:t xml:space="preserve"> en matière de qualité de l’onde sont résumés dans le tableau ci-dessous. </w:t>
      </w:r>
    </w:p>
    <w:p w14:paraId="3DC03949" w14:textId="4379A59B" w:rsidR="00F97290" w:rsidRPr="00FA158B" w:rsidRDefault="0076712A" w:rsidP="009C3752">
      <w:r>
        <w:t>Le GRD</w:t>
      </w:r>
      <w:r w:rsidRPr="00FA158B">
        <w:t xml:space="preserve"> </w:t>
      </w:r>
      <w:r w:rsidR="00F97290" w:rsidRPr="00FA158B">
        <w:t>ne prend aucun engagement standard sur les microcoupures, ni sur les Creux de Tension.</w:t>
      </w:r>
    </w:p>
    <w:p w14:paraId="126279E4" w14:textId="77777777" w:rsidR="00F97290" w:rsidRPr="00FA158B" w:rsidRDefault="00F97290" w:rsidP="009C3752">
      <w:r w:rsidRPr="00FA158B">
        <w:t>Les modalités de mesure des paramètres relatifs à la qualité suivent les principes contenus dans la norme NF EN 50160 à défaut d’autre disposition réglementaire.</w:t>
      </w:r>
    </w:p>
    <w:p w14:paraId="66EAE788" w14:textId="77777777" w:rsidR="00F97290" w:rsidRPr="00FA158B" w:rsidRDefault="00F97290" w:rsidP="00D3365D">
      <w:pPr>
        <w:spacing w:after="0"/>
      </w:pPr>
      <w:r w:rsidRPr="00FA158B">
        <w:t>Les définitions et les modalités de mesure des phénomènes relatifs à la qualité figurent dans les présentes dispositions générales.</w:t>
      </w:r>
    </w:p>
    <w:p w14:paraId="5CC14617" w14:textId="77777777" w:rsidR="00F97290" w:rsidRPr="00FA158B" w:rsidRDefault="00F97290" w:rsidP="003864D6">
      <w:pPr>
        <w:pStyle w:val="Normal1"/>
        <w:spacing w:before="0" w:after="0"/>
      </w:pPr>
    </w:p>
    <w:tbl>
      <w:tblPr>
        <w:tblW w:w="0" w:type="auto"/>
        <w:tblInd w:w="3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399"/>
        <w:gridCol w:w="6602"/>
      </w:tblGrid>
      <w:tr w:rsidR="00F97290" w:rsidRPr="00FA158B" w14:paraId="7F725927" w14:textId="77777777" w:rsidTr="003864D6">
        <w:trPr>
          <w:trHeight w:val="40"/>
        </w:trPr>
        <w:tc>
          <w:tcPr>
            <w:tcW w:w="2399" w:type="dxa"/>
            <w:tcBorders>
              <w:right w:val="single" w:sz="6" w:space="0" w:color="auto"/>
            </w:tcBorders>
          </w:tcPr>
          <w:p w14:paraId="7DAAB997" w14:textId="77777777" w:rsidR="00F97290" w:rsidRPr="00FA158B" w:rsidRDefault="00F97290" w:rsidP="00D3365D">
            <w:pPr>
              <w:rPr>
                <w:rFonts w:ascii="Arial" w:hAnsi="Arial"/>
              </w:rPr>
            </w:pPr>
            <w:r w:rsidRPr="00FA158B">
              <w:t>Phénomènes</w:t>
            </w:r>
          </w:p>
        </w:tc>
        <w:tc>
          <w:tcPr>
            <w:tcW w:w="6602" w:type="dxa"/>
            <w:tcBorders>
              <w:left w:val="single" w:sz="6" w:space="0" w:color="auto"/>
            </w:tcBorders>
          </w:tcPr>
          <w:p w14:paraId="199EE2E0" w14:textId="77777777" w:rsidR="00F97290" w:rsidRPr="00FA158B" w:rsidRDefault="00F97290" w:rsidP="00D3365D">
            <w:pPr>
              <w:rPr>
                <w:rFonts w:ascii="Arial" w:hAnsi="Arial"/>
              </w:rPr>
            </w:pPr>
            <w:r w:rsidRPr="00FA158B">
              <w:t>Engagement</w:t>
            </w:r>
          </w:p>
        </w:tc>
      </w:tr>
      <w:tr w:rsidR="00F97290" w:rsidRPr="00FA158B" w14:paraId="4DEA5869" w14:textId="77777777" w:rsidTr="003864D6">
        <w:tc>
          <w:tcPr>
            <w:tcW w:w="2399" w:type="dxa"/>
            <w:tcBorders>
              <w:top w:val="single" w:sz="6" w:space="0" w:color="auto"/>
              <w:bottom w:val="single" w:sz="6" w:space="0" w:color="auto"/>
              <w:right w:val="single" w:sz="6" w:space="0" w:color="auto"/>
            </w:tcBorders>
          </w:tcPr>
          <w:p w14:paraId="60D32CB2" w14:textId="77777777" w:rsidR="00F97290" w:rsidRPr="00FA158B" w:rsidRDefault="00F97290" w:rsidP="00D3365D">
            <w:r w:rsidRPr="00FA158B">
              <w:t>Fluctuations lentes</w:t>
            </w:r>
          </w:p>
        </w:tc>
        <w:tc>
          <w:tcPr>
            <w:tcW w:w="6602" w:type="dxa"/>
            <w:tcBorders>
              <w:top w:val="single" w:sz="6" w:space="0" w:color="auto"/>
              <w:left w:val="single" w:sz="6" w:space="0" w:color="auto"/>
              <w:bottom w:val="single" w:sz="6" w:space="0" w:color="auto"/>
            </w:tcBorders>
          </w:tcPr>
          <w:p w14:paraId="20668880" w14:textId="77777777" w:rsidR="00F97290" w:rsidRPr="00FA158B" w:rsidRDefault="00F97290" w:rsidP="00D3365D">
            <w:proofErr w:type="spellStart"/>
            <w:r w:rsidRPr="00FA158B">
              <w:t>Uc</w:t>
            </w:r>
            <w:proofErr w:type="spellEnd"/>
            <w:r w:rsidRPr="00FA158B">
              <w:t xml:space="preserve">, Tension Contractuelle située dans la plage </w:t>
            </w:r>
            <w:r w:rsidRPr="00FA158B">
              <w:sym w:font="Symbol" w:char="F0B1"/>
            </w:r>
            <w:r w:rsidRPr="00FA158B">
              <w:t xml:space="preserve"> 5 % autour de la Tension Nominale</w:t>
            </w:r>
          </w:p>
          <w:p w14:paraId="188F5631" w14:textId="77777777" w:rsidR="00F97290" w:rsidRPr="00FA158B" w:rsidRDefault="00F97290" w:rsidP="00D3365D">
            <w:proofErr w:type="spellStart"/>
            <w:r w:rsidRPr="00FA158B">
              <w:t>Uf</w:t>
            </w:r>
            <w:proofErr w:type="spellEnd"/>
            <w:r w:rsidRPr="00FA158B">
              <w:t xml:space="preserve"> située dans la plage </w:t>
            </w:r>
            <w:r w:rsidRPr="00FA158B">
              <w:sym w:font="Symbol" w:char="F0B1"/>
            </w:r>
            <w:r w:rsidRPr="00FA158B">
              <w:t xml:space="preserve"> 5 % autour de la Tension Contractuelle</w:t>
            </w:r>
          </w:p>
        </w:tc>
      </w:tr>
      <w:tr w:rsidR="00F97290" w:rsidRPr="00FA158B" w14:paraId="38BC6AF2" w14:textId="77777777" w:rsidTr="003864D6">
        <w:tc>
          <w:tcPr>
            <w:tcW w:w="2399" w:type="dxa"/>
            <w:tcBorders>
              <w:top w:val="single" w:sz="6" w:space="0" w:color="auto"/>
              <w:bottom w:val="single" w:sz="6" w:space="0" w:color="auto"/>
              <w:right w:val="single" w:sz="6" w:space="0" w:color="auto"/>
            </w:tcBorders>
          </w:tcPr>
          <w:p w14:paraId="324EA058" w14:textId="77777777" w:rsidR="00F97290" w:rsidRPr="00FA158B" w:rsidRDefault="00F97290" w:rsidP="00D3365D">
            <w:r w:rsidRPr="00FA158B">
              <w:t>Fluctuations rapides</w:t>
            </w:r>
          </w:p>
        </w:tc>
        <w:tc>
          <w:tcPr>
            <w:tcW w:w="6602" w:type="dxa"/>
            <w:tcBorders>
              <w:top w:val="single" w:sz="6" w:space="0" w:color="auto"/>
              <w:left w:val="single" w:sz="6" w:space="0" w:color="auto"/>
              <w:bottom w:val="single" w:sz="6" w:space="0" w:color="auto"/>
            </w:tcBorders>
          </w:tcPr>
          <w:p w14:paraId="0D6A0E8A" w14:textId="77777777" w:rsidR="00F97290" w:rsidRPr="00FA158B" w:rsidRDefault="00F97290" w:rsidP="00D3365D">
            <w:proofErr w:type="spellStart"/>
            <w:r w:rsidRPr="00FA158B">
              <w:t>Plt</w:t>
            </w:r>
            <w:proofErr w:type="spellEnd"/>
            <w:r w:rsidRPr="00FA158B">
              <w:sym w:font="Symbol" w:char="F0A3"/>
            </w:r>
            <w:r w:rsidRPr="00FA158B">
              <w:t>1</w:t>
            </w:r>
          </w:p>
        </w:tc>
      </w:tr>
      <w:tr w:rsidR="00F97290" w:rsidRPr="00FA158B" w14:paraId="67807F61" w14:textId="77777777" w:rsidTr="003864D6">
        <w:tc>
          <w:tcPr>
            <w:tcW w:w="2399" w:type="dxa"/>
            <w:tcBorders>
              <w:top w:val="single" w:sz="6" w:space="0" w:color="auto"/>
              <w:bottom w:val="single" w:sz="6" w:space="0" w:color="auto"/>
              <w:right w:val="single" w:sz="6" w:space="0" w:color="auto"/>
            </w:tcBorders>
          </w:tcPr>
          <w:p w14:paraId="2F5FA333" w14:textId="77777777" w:rsidR="00F97290" w:rsidRPr="00FA158B" w:rsidRDefault="00F97290" w:rsidP="00D3365D">
            <w:r w:rsidRPr="00FA158B">
              <w:t>Déséquilibres</w:t>
            </w:r>
          </w:p>
        </w:tc>
        <w:tc>
          <w:tcPr>
            <w:tcW w:w="6602" w:type="dxa"/>
            <w:tcBorders>
              <w:top w:val="single" w:sz="6" w:space="0" w:color="auto"/>
              <w:left w:val="single" w:sz="6" w:space="0" w:color="auto"/>
              <w:bottom w:val="single" w:sz="6" w:space="0" w:color="auto"/>
            </w:tcBorders>
          </w:tcPr>
          <w:p w14:paraId="0304BAD7" w14:textId="77777777" w:rsidR="00F97290" w:rsidRPr="00FA158B" w:rsidRDefault="00F97290" w:rsidP="00D3365D">
            <w:r w:rsidRPr="00FA158B">
              <w:sym w:font="Symbol" w:char="F074"/>
            </w:r>
            <w:proofErr w:type="spellStart"/>
            <w:proofErr w:type="gramStart"/>
            <w:r w:rsidRPr="00FA158B">
              <w:t>vm</w:t>
            </w:r>
            <w:proofErr w:type="spellEnd"/>
            <w:proofErr w:type="gramEnd"/>
            <w:r w:rsidRPr="00FA158B">
              <w:sym w:font="Symbol" w:char="F0A3"/>
            </w:r>
            <w:r w:rsidRPr="00FA158B">
              <w:t xml:space="preserve"> 2%</w:t>
            </w:r>
          </w:p>
        </w:tc>
      </w:tr>
      <w:tr w:rsidR="00F97290" w:rsidRPr="00FA158B" w14:paraId="2566F5A2" w14:textId="77777777" w:rsidTr="003864D6">
        <w:tc>
          <w:tcPr>
            <w:tcW w:w="2399" w:type="dxa"/>
            <w:tcBorders>
              <w:top w:val="single" w:sz="6" w:space="0" w:color="auto"/>
              <w:bottom w:val="single" w:sz="12" w:space="0" w:color="auto"/>
              <w:right w:val="single" w:sz="6" w:space="0" w:color="auto"/>
            </w:tcBorders>
          </w:tcPr>
          <w:p w14:paraId="47A38BB3" w14:textId="77777777" w:rsidR="00F97290" w:rsidRPr="00FA158B" w:rsidRDefault="00F97290" w:rsidP="00D3365D">
            <w:r w:rsidRPr="00FA158B">
              <w:t>Fréquence</w:t>
            </w:r>
          </w:p>
        </w:tc>
        <w:tc>
          <w:tcPr>
            <w:tcW w:w="6602" w:type="dxa"/>
            <w:tcBorders>
              <w:top w:val="single" w:sz="6" w:space="0" w:color="auto"/>
              <w:left w:val="single" w:sz="6" w:space="0" w:color="auto"/>
              <w:bottom w:val="single" w:sz="12" w:space="0" w:color="auto"/>
            </w:tcBorders>
          </w:tcPr>
          <w:p w14:paraId="68332C3D" w14:textId="77777777" w:rsidR="00F97290" w:rsidRPr="00FA158B" w:rsidRDefault="00F97290" w:rsidP="00D3365D">
            <w:r w:rsidRPr="00FA158B">
              <w:t xml:space="preserve">50 Hz </w:t>
            </w:r>
            <w:r w:rsidRPr="00FA158B">
              <w:sym w:font="Symbol" w:char="F0B1"/>
            </w:r>
            <w:r w:rsidRPr="00FA158B">
              <w:t xml:space="preserve"> 1 % (cas des réseaux interconnectés)</w:t>
            </w:r>
          </w:p>
          <w:p w14:paraId="0E3514AD" w14:textId="77777777" w:rsidR="00F97290" w:rsidRPr="00FA158B" w:rsidRDefault="00F97290" w:rsidP="00D3365D">
            <w:r w:rsidRPr="00FA158B">
              <w:t>50 Hz +4/-6% (cas des réseaux îlotés)</w:t>
            </w:r>
          </w:p>
        </w:tc>
      </w:tr>
    </w:tbl>
    <w:p w14:paraId="1EF87C6C" w14:textId="77777777" w:rsidR="00F97290" w:rsidRPr="00FA158B" w:rsidRDefault="00F97290" w:rsidP="000C0CCD">
      <w:pPr>
        <w:pStyle w:val="Titre3"/>
      </w:pPr>
      <w:bookmarkStart w:id="255" w:name="_Toc21422455"/>
      <w:r w:rsidRPr="00FA158B">
        <w:t>Date d’effet et durée des engagements sur la continuité et la qualité</w:t>
      </w:r>
      <w:bookmarkEnd w:id="255"/>
      <w:r w:rsidRPr="00FA158B">
        <w:t xml:space="preserve"> </w:t>
      </w:r>
    </w:p>
    <w:p w14:paraId="3DC9F4A1" w14:textId="77777777" w:rsidR="00F97290" w:rsidRPr="00FA158B" w:rsidRDefault="00F97290" w:rsidP="009C3752">
      <w:r w:rsidRPr="00FA158B">
        <w:t>La date de prise d'effet des engagements de continuité et de qualité est la date d’effet du Contrat Unique, sauf si les engagements de continuité et de qualité reprennent les valeurs des engagements pris dans le cadre d’un éventuel contrat précédent du Client pour le Site. Dans ce cas, la date de prise d'effet des engagements est la même que celle figurant dans le contrat précédent, indépendamment de sa résiliation.</w:t>
      </w:r>
    </w:p>
    <w:p w14:paraId="07BAA393" w14:textId="7B4B8BEA" w:rsidR="00F97290" w:rsidRPr="00FA158B" w:rsidRDefault="00F97290" w:rsidP="009C3752">
      <w:r w:rsidRPr="00FA158B">
        <w:t>En cas de modification des engagements de continuité et de qualité en cours d'exécution du Contrat Unique, la date de prise d’effet des engagements de continuité et de qualité est celle précisée dans les flux de données contractuelles</w:t>
      </w:r>
      <w:r w:rsidR="00E21667" w:rsidRPr="00FA158B">
        <w:t xml:space="preserve"> </w:t>
      </w:r>
      <w:r w:rsidRPr="00FA158B">
        <w:t>transmis au Fournisseur.</w:t>
      </w:r>
    </w:p>
    <w:p w14:paraId="1E220523" w14:textId="77777777" w:rsidR="00F97290" w:rsidRPr="00FA158B" w:rsidRDefault="00F97290" w:rsidP="009C3752">
      <w:r w:rsidRPr="00FA158B">
        <w:t xml:space="preserve">Les engagements relatifs au nombre de Coupures visés aux articles </w:t>
      </w:r>
      <w:r w:rsidR="00983D6B" w:rsidRPr="00FA158B">
        <w:fldChar w:fldCharType="begin"/>
      </w:r>
      <w:r w:rsidR="00983D6B" w:rsidRPr="00FA158B">
        <w:instrText xml:space="preserve"> REF _Ref143933141 \r \h  \* MERGEFORMAT </w:instrText>
      </w:r>
      <w:r w:rsidR="00983D6B" w:rsidRPr="00FA158B">
        <w:fldChar w:fldCharType="separate"/>
      </w:r>
      <w:r w:rsidR="005E7E99">
        <w:t>5.1.1.1</w:t>
      </w:r>
      <w:r w:rsidR="00983D6B" w:rsidRPr="00FA158B">
        <w:fldChar w:fldCharType="end"/>
      </w:r>
      <w:r w:rsidRPr="00FA158B">
        <w:t xml:space="preserve"> et </w:t>
      </w:r>
      <w:r w:rsidR="00983D6B" w:rsidRPr="00FA158B">
        <w:fldChar w:fldCharType="begin"/>
      </w:r>
      <w:r w:rsidR="00983D6B" w:rsidRPr="00FA158B">
        <w:instrText xml:space="preserve"> REF _Ref143933188 \r \h  \* MERGEFORMAT </w:instrText>
      </w:r>
      <w:r w:rsidR="00983D6B" w:rsidRPr="00FA158B">
        <w:fldChar w:fldCharType="separate"/>
      </w:r>
      <w:r w:rsidR="005E7E99">
        <w:t>5.1.2.1</w:t>
      </w:r>
      <w:r w:rsidR="00983D6B" w:rsidRPr="00FA158B">
        <w:fldChar w:fldCharType="end"/>
      </w:r>
      <w:r w:rsidRPr="00FA158B">
        <w:t xml:space="preserve"> des présentes dispositions générales, ainsi que les engagements relatifs au nombre de Creux de Tension visés à l'article </w:t>
      </w:r>
      <w:r w:rsidR="00983D6B" w:rsidRPr="00FA158B">
        <w:fldChar w:fldCharType="begin"/>
      </w:r>
      <w:r w:rsidR="00983D6B" w:rsidRPr="00FA158B">
        <w:instrText xml:space="preserve"> REF _Ref15103867 \r \h  \* MERGEFORMAT </w:instrText>
      </w:r>
      <w:r w:rsidR="00983D6B" w:rsidRPr="00FA158B">
        <w:fldChar w:fldCharType="separate"/>
      </w:r>
      <w:r w:rsidR="005E7E99">
        <w:t>5.1.3.2</w:t>
      </w:r>
      <w:r w:rsidR="00983D6B" w:rsidRPr="00FA158B">
        <w:fldChar w:fldCharType="end"/>
      </w:r>
      <w:r w:rsidRPr="00FA158B">
        <w:t xml:space="preserve"> portent sur une durée d'un an. </w:t>
      </w:r>
    </w:p>
    <w:p w14:paraId="1A2BD52D" w14:textId="77777777" w:rsidR="00F97290" w:rsidRPr="00FA158B" w:rsidRDefault="00F97290" w:rsidP="009C3752">
      <w:r w:rsidRPr="00FA158B">
        <w:t xml:space="preserve">L’engagement relatif au nombre de Coupures visés à l'article </w:t>
      </w:r>
      <w:r w:rsidR="00983D6B" w:rsidRPr="00FA158B">
        <w:fldChar w:fldCharType="begin"/>
      </w:r>
      <w:r w:rsidR="00983D6B" w:rsidRPr="00FA158B">
        <w:instrText xml:space="preserve"> REF _Ref143933302 \r \h  \* MERGEFORMAT </w:instrText>
      </w:r>
      <w:r w:rsidR="00983D6B" w:rsidRPr="00FA158B">
        <w:fldChar w:fldCharType="separate"/>
      </w:r>
      <w:r w:rsidR="005E7E99">
        <w:t>5.1.2.2</w:t>
      </w:r>
      <w:r w:rsidR="00983D6B" w:rsidRPr="00FA158B">
        <w:fldChar w:fldCharType="end"/>
      </w:r>
      <w:r w:rsidRPr="00FA158B">
        <w:t xml:space="preserve"> des présentes dispositions générales porte sur une durée </w:t>
      </w:r>
      <w:proofErr w:type="gramStart"/>
      <w:r w:rsidRPr="00FA158B">
        <w:t>de un</w:t>
      </w:r>
      <w:proofErr w:type="gramEnd"/>
      <w:r w:rsidRPr="00FA158B">
        <w:t xml:space="preserve"> ou trois ans, en application du tableau de ce même article.</w:t>
      </w:r>
    </w:p>
    <w:p w14:paraId="29DE411B" w14:textId="77777777" w:rsidR="00F97290" w:rsidRPr="00FA158B" w:rsidRDefault="00F97290" w:rsidP="009C3752">
      <w:r w:rsidRPr="00FA158B">
        <w:t>A défaut de souscription d’un nouvel engagement personnalisé dans les conditions ci-dessus, les modalités suivantes s’appliquent :</w:t>
      </w:r>
    </w:p>
    <w:p w14:paraId="4E748438" w14:textId="77777777" w:rsidR="00F97290" w:rsidRPr="00FA158B" w:rsidRDefault="00F97290" w:rsidP="0004412B">
      <w:pPr>
        <w:pStyle w:val="SPuce"/>
      </w:pPr>
      <w:proofErr w:type="gramStart"/>
      <w:r w:rsidRPr="00FA158B">
        <w:t>l’engagement</w:t>
      </w:r>
      <w:proofErr w:type="gramEnd"/>
      <w:r w:rsidRPr="00FA158B">
        <w:t xml:space="preserve"> standard visé à l’article </w:t>
      </w:r>
      <w:r w:rsidR="00983D6B" w:rsidRPr="00FA158B">
        <w:fldChar w:fldCharType="begin"/>
      </w:r>
      <w:r w:rsidR="00983D6B" w:rsidRPr="00FA158B">
        <w:instrText xml:space="preserve"> REF _Ref143933188 \r \h  \* MERGEFORMAT </w:instrText>
      </w:r>
      <w:r w:rsidR="00983D6B" w:rsidRPr="00FA158B">
        <w:fldChar w:fldCharType="separate"/>
      </w:r>
      <w:r w:rsidR="005E7E99">
        <w:t>5.1.2.1</w:t>
      </w:r>
      <w:r w:rsidR="00983D6B" w:rsidRPr="00FA158B">
        <w:fldChar w:fldCharType="end"/>
      </w:r>
      <w:r w:rsidRPr="00FA158B">
        <w:t xml:space="preserve"> se substitue à l’engagement personnalisé précédent ;</w:t>
      </w:r>
    </w:p>
    <w:p w14:paraId="67014942" w14:textId="51F0AE9A" w:rsidR="00F97290" w:rsidRPr="00FA158B" w:rsidRDefault="0076712A" w:rsidP="0004412B">
      <w:pPr>
        <w:pStyle w:val="SPuce"/>
      </w:pPr>
      <w:proofErr w:type="gramStart"/>
      <w:r>
        <w:t>le</w:t>
      </w:r>
      <w:proofErr w:type="gramEnd"/>
      <w:r>
        <w:t xml:space="preserve"> GRD</w:t>
      </w:r>
      <w:r w:rsidR="00F97290" w:rsidRPr="00FA158B">
        <w:t xml:space="preserve"> ne prend aucun engagement sur les Creux de Tension conformément à l’article </w:t>
      </w:r>
      <w:r w:rsidR="00983D6B" w:rsidRPr="00FA158B">
        <w:fldChar w:fldCharType="begin"/>
      </w:r>
      <w:r w:rsidR="00983D6B" w:rsidRPr="00FA158B">
        <w:instrText xml:space="preserve"> REF _Ref472522455 \r \h  \* MERGEFORMAT </w:instrText>
      </w:r>
      <w:r w:rsidR="00983D6B" w:rsidRPr="00FA158B">
        <w:fldChar w:fldCharType="separate"/>
      </w:r>
      <w:r w:rsidR="005E7E99">
        <w:t>5.1.3.1</w:t>
      </w:r>
      <w:r w:rsidR="00983D6B" w:rsidRPr="00FA158B">
        <w:fldChar w:fldCharType="end"/>
      </w:r>
      <w:r w:rsidR="00F97290" w:rsidRPr="00FA158B">
        <w:t>.</w:t>
      </w:r>
      <w:r w:rsidR="00D0264B" w:rsidRPr="00D0264B">
        <w:rPr>
          <w:color w:val="FF0000"/>
        </w:rPr>
        <w:t xml:space="preserve"> </w:t>
      </w:r>
      <w:r w:rsidR="00D0264B">
        <w:rPr>
          <w:color w:val="FF0000"/>
        </w:rPr>
        <w:t>]</w:t>
      </w:r>
    </w:p>
    <w:p w14:paraId="37645EEA" w14:textId="77777777" w:rsidR="00F97290" w:rsidRPr="00FA158B" w:rsidRDefault="00F97290" w:rsidP="009C3752">
      <w:r w:rsidRPr="00FA158B">
        <w:t>Dans tous les cas, la date d'effet et la durée de la période d'engagement sont précisées dans le Contrat Unique concerné.</w:t>
      </w:r>
    </w:p>
    <w:p w14:paraId="209A0D1A" w14:textId="196731E0" w:rsidR="00F97290" w:rsidRPr="00FA158B" w:rsidRDefault="00F97290" w:rsidP="000C0CCD">
      <w:pPr>
        <w:pStyle w:val="Titre3"/>
      </w:pPr>
      <w:bookmarkStart w:id="256" w:name="_Toc21422456"/>
      <w:r w:rsidRPr="00FA158B">
        <w:t xml:space="preserve">Informations sans engagement </w:t>
      </w:r>
      <w:r w:rsidR="0076712A">
        <w:t>du GRD</w:t>
      </w:r>
      <w:r w:rsidRPr="00FA158B">
        <w:t xml:space="preserve"> en matière de qualité de l’onde</w:t>
      </w:r>
      <w:bookmarkEnd w:id="256"/>
    </w:p>
    <w:p w14:paraId="50F56CF8" w14:textId="26F10F61" w:rsidR="00F97290" w:rsidRPr="00FA158B" w:rsidRDefault="00F97290" w:rsidP="009C3752">
      <w:r w:rsidRPr="00FA158B">
        <w:t xml:space="preserve">Pour les caractéristiques de la tension autres que celles visées à l’article </w:t>
      </w:r>
      <w:r w:rsidR="00983D6B" w:rsidRPr="00FA158B">
        <w:fldChar w:fldCharType="begin"/>
      </w:r>
      <w:r w:rsidR="00983D6B" w:rsidRPr="00FA158B">
        <w:instrText xml:space="preserve"> REF _Ref143920999 \r \h  \* MERGEFORMAT </w:instrText>
      </w:r>
      <w:r w:rsidR="00983D6B" w:rsidRPr="00FA158B">
        <w:fldChar w:fldCharType="separate"/>
      </w:r>
      <w:r w:rsidR="005E7E99">
        <w:t>5.1.3</w:t>
      </w:r>
      <w:r w:rsidR="00983D6B" w:rsidRPr="00FA158B">
        <w:fldChar w:fldCharType="end"/>
      </w:r>
      <w:r w:rsidRPr="00FA158B">
        <w:t xml:space="preserve">, </w:t>
      </w:r>
      <w:r w:rsidR="0076712A">
        <w:t>le GRD</w:t>
      </w:r>
      <w:r w:rsidRPr="00FA158B">
        <w:t xml:space="preserve"> ne prend aucun engagement et fournit les informations suivantes.</w:t>
      </w:r>
    </w:p>
    <w:p w14:paraId="72624DB8" w14:textId="77777777" w:rsidR="00F97290" w:rsidRPr="00FA158B" w:rsidRDefault="00F97290" w:rsidP="000C0CCD">
      <w:pPr>
        <w:pStyle w:val="Titre4"/>
      </w:pPr>
      <w:bookmarkStart w:id="257" w:name="_Toc52012177"/>
      <w:proofErr w:type="spellStart"/>
      <w:r w:rsidRPr="00FA158B">
        <w:lastRenderedPageBreak/>
        <w:t>Micro-coupures</w:t>
      </w:r>
      <w:bookmarkEnd w:id="257"/>
      <w:proofErr w:type="spellEnd"/>
    </w:p>
    <w:p w14:paraId="404C6DB3" w14:textId="77777777" w:rsidR="00F97290" w:rsidRPr="00FA158B" w:rsidRDefault="00F97290" w:rsidP="009C3752">
      <w:r w:rsidRPr="00FA158B">
        <w:t xml:space="preserve">Les </w:t>
      </w:r>
      <w:proofErr w:type="spellStart"/>
      <w:r w:rsidRPr="00FA158B">
        <w:t>micro-coupures</w:t>
      </w:r>
      <w:proofErr w:type="spellEnd"/>
      <w:r w:rsidRPr="00FA158B">
        <w:t xml:space="preserve"> sont soit des évènements pendant lesquels les valeurs efficaces des trois tensions composées sont simultanément inférieures à 5% de la Tensions Contractuelle pendant une durée strictement inférieure à 1 seconde, soit des Creux de Tension dont la durée est strictement inférieure à 600 ms (0,6 seconde). Elles sont principalement dues à des défauts survenant sur le Réseau ou dans les installations des Utilisateurs raccordés sur le Réseau. Ces évènements sont largement aléatoires et imprévisibles, et leur répartition dans l’année peut être très irrégulière.</w:t>
      </w:r>
    </w:p>
    <w:p w14:paraId="4F194E8F" w14:textId="08E7CE23" w:rsidR="00F97290" w:rsidRPr="00FA158B" w:rsidRDefault="005D0DFA" w:rsidP="009C3752">
      <w:pPr>
        <w:rPr>
          <w:rFonts w:ascii="Calibri" w:hAnsi="Calibri"/>
          <w:sz w:val="18"/>
        </w:rPr>
      </w:pPr>
      <w:r>
        <w:t>L</w:t>
      </w:r>
      <w:r w:rsidR="0076712A">
        <w:t>e GRD</w:t>
      </w:r>
      <w:r w:rsidR="00F97290" w:rsidRPr="00FA158B">
        <w:t xml:space="preserve"> n’est donc pas en mesure de garantir un nombre qui ne serait pas dépassé. En conséquence, le Client doit prendre toutes les mesures nécessaires pour se protéger</w:t>
      </w:r>
      <w:r w:rsidR="00F97290" w:rsidRPr="00FA158B">
        <w:rPr>
          <w:rFonts w:ascii="Calibri" w:hAnsi="Calibri"/>
          <w:sz w:val="18"/>
        </w:rPr>
        <w:t>.</w:t>
      </w:r>
    </w:p>
    <w:p w14:paraId="18E79852" w14:textId="77777777" w:rsidR="00F97290" w:rsidRPr="00FA158B" w:rsidRDefault="00F97290" w:rsidP="000C0CCD">
      <w:pPr>
        <w:pStyle w:val="Titre4"/>
      </w:pPr>
      <w:bookmarkStart w:id="258" w:name="_Toc52012178"/>
      <w:r w:rsidRPr="00FA158B">
        <w:t>Tensions harmoniques</w:t>
      </w:r>
      <w:bookmarkEnd w:id="258"/>
    </w:p>
    <w:p w14:paraId="07CB4980" w14:textId="3FDBDCA5" w:rsidR="00F97290" w:rsidRPr="00FA158B" w:rsidRDefault="005D0DFA" w:rsidP="009C3752">
      <w:r>
        <w:t>L</w:t>
      </w:r>
      <w:r w:rsidR="0076712A">
        <w:t>e GRD</w:t>
      </w:r>
      <w:r w:rsidR="00F97290" w:rsidRPr="00FA158B">
        <w:t xml:space="preserve"> met à disposition des Utilisateurs du RPD des tensions sinusoïdales à 50 Hz que certains équipements perturbateurs peuvent déformer. Une tension déformée est la superposition d’une sinusoïde à 50 Hz et d’autres sinusoïdes à des Fréquences multiples entiers de 50 Hz, que l’on appelle tensions harmoniques. On dit que la sinusoïde de Fréquence 100 Hz est de rang 2, celle de Fréquence 150 Hz de rang 3, etc. Les taux de tensions harmoniques </w:t>
      </w:r>
      <w:r w:rsidR="00F97290" w:rsidRPr="00FA158B">
        <w:sym w:font="Symbol" w:char="F074"/>
      </w:r>
      <w:r w:rsidR="00F97290" w:rsidRPr="00FA158B">
        <w:t>h, exprimés en pour-cent de la tension de mise à disposition (</w:t>
      </w:r>
      <w:proofErr w:type="spellStart"/>
      <w:r w:rsidR="00F97290" w:rsidRPr="00FA158B">
        <w:t>Uf</w:t>
      </w:r>
      <w:proofErr w:type="spellEnd"/>
      <w:r w:rsidR="00F97290" w:rsidRPr="00FA158B">
        <w:t xml:space="preserve">), ne dépassent habituellement pas les seuils suivants, le taux global </w:t>
      </w:r>
      <w:r w:rsidR="00F97290" w:rsidRPr="00FA158B">
        <w:sym w:font="Symbol" w:char="F074"/>
      </w:r>
      <w:r w:rsidR="00F97290" w:rsidRPr="00FA158B">
        <w:t>g</w:t>
      </w:r>
      <w:r w:rsidR="00F97290" w:rsidRPr="00FA158B">
        <w:footnoteReference w:id="2"/>
      </w:r>
      <w:r w:rsidR="00F97290" w:rsidRPr="00FA158B">
        <w:t xml:space="preserve"> ne dépassant pas 8%.</w:t>
      </w:r>
    </w:p>
    <w:p w14:paraId="1CCF6076" w14:textId="77777777" w:rsidR="00F97290" w:rsidRPr="00FA158B" w:rsidRDefault="00F97290" w:rsidP="009C3752">
      <w:pPr>
        <w:pStyle w:val="Normal1"/>
      </w:pPr>
    </w:p>
    <w:p w14:paraId="5AB441BE" w14:textId="77777777" w:rsidR="00F97290" w:rsidRPr="00FA158B" w:rsidRDefault="00F97290" w:rsidP="009C3752">
      <w:pPr>
        <w:pStyle w:val="Dfinitions"/>
      </w:pPr>
      <w:r w:rsidRPr="00FA158B">
        <w:rPr>
          <w:color w:val="575757" w:themeColor="text1"/>
        </w:rPr>
        <w:object w:dxaOrig="7008" w:dyaOrig="3357" w14:anchorId="5C49F1E4">
          <v:shape id="_x0000_i1025" type="#_x0000_t75" style="width:352.5pt;height:166.5pt" o:ole="" fillcolor="window">
            <v:imagedata r:id="rId23" o:title=""/>
          </v:shape>
          <o:OLEObject Type="Embed" ProgID="Word.Picture.8" ShapeID="_x0000_i1025" DrawAspect="Content" ObjectID="_1682145179" r:id="rId24"/>
        </w:object>
      </w:r>
    </w:p>
    <w:p w14:paraId="504AFCAD" w14:textId="77777777" w:rsidR="00F97290" w:rsidRPr="00FA158B" w:rsidRDefault="00F97290" w:rsidP="009C3752">
      <w:r w:rsidRPr="00FA158B">
        <w:t>La valeur efficace de chaque tension harmonique est moyennée sur une durée de dix minutes.</w:t>
      </w:r>
    </w:p>
    <w:p w14:paraId="67CC4CD7" w14:textId="77777777" w:rsidR="00F97290" w:rsidRPr="00FA158B" w:rsidRDefault="00F97290" w:rsidP="009C3752">
      <w:pPr>
        <w:rPr>
          <w:rFonts w:ascii="Calibri" w:hAnsi="Calibri"/>
          <w:sz w:val="18"/>
        </w:rPr>
      </w:pPr>
      <w:r w:rsidRPr="00FA158B">
        <w:t>Certaines charges raccordées au réseau ne consomment pas un courant proportionnel à la tension de mise à disposition. Ce courant contient des courants harmoniques qui provoquent sur le réseau des tensions harmoniques. La présence de tensions harmoniques sur le réseau génère des courants harmoniques dans les équipements électriques, ce qui provoque des échauffements. Dans le cas des condensateurs, l’effet peut être accentué par des phénomènes de résonance. Tous les procédés comportant de l’électronique, quelle que soit leur puissance, produisent des courants harmoniques : c’est en particulier le cas des micro-ordinateurs et des variateurs de courant.</w:t>
      </w:r>
    </w:p>
    <w:p w14:paraId="23ACC5B3" w14:textId="77777777" w:rsidR="00F97290" w:rsidRPr="00FA158B" w:rsidRDefault="00F97290" w:rsidP="000C0CCD">
      <w:pPr>
        <w:pStyle w:val="Titre4"/>
      </w:pPr>
      <w:bookmarkStart w:id="259" w:name="_Toc52012179"/>
      <w:r w:rsidRPr="00FA158B">
        <w:t xml:space="preserve">Surtensions </w:t>
      </w:r>
      <w:bookmarkEnd w:id="259"/>
      <w:r w:rsidRPr="00FA158B">
        <w:t>Transitoires</w:t>
      </w:r>
    </w:p>
    <w:p w14:paraId="36292597" w14:textId="26D6D480" w:rsidR="00F97290" w:rsidRPr="00FA158B" w:rsidRDefault="00F97290" w:rsidP="009C3752">
      <w:r w:rsidRPr="00FA158B">
        <w:t xml:space="preserve">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w:t>
      </w:r>
      <w:r w:rsidR="0076712A">
        <w:t>du GRD</w:t>
      </w:r>
      <w:r w:rsidRPr="00FA158B">
        <w:t xml:space="preserve"> ou sur les réseaux des Utilisateurs.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w:t>
      </w:r>
      <w:r w:rsidRPr="00FA158B">
        <w:lastRenderedPageBreak/>
        <w:t xml:space="preserve">gamme de quelques kHz à quelques MHz), </w:t>
      </w:r>
      <w:r w:rsidR="0076712A">
        <w:t>le GRD</w:t>
      </w:r>
      <w:r w:rsidRPr="00FA158B">
        <w:t xml:space="preserve"> n’est pas en mesure de garantir des niveaux qui ne seraient pas dépassés chez le Client. En conséquence, celui-ci doit prendre toutes les mesures nécessaires pour se protéger.</w:t>
      </w:r>
    </w:p>
    <w:p w14:paraId="6393E938" w14:textId="1AA2F411" w:rsidR="00F97290" w:rsidRPr="00FA158B" w:rsidRDefault="00F97290" w:rsidP="009C3752">
      <w:r w:rsidRPr="00FA158B">
        <w:t xml:space="preserve">Nota : les parafoudres actuellement utilisés sur le réseau HTA </w:t>
      </w:r>
      <w:r w:rsidR="0076712A">
        <w:t>du GRD</w:t>
      </w:r>
      <w:r w:rsidRPr="00FA158B">
        <w:t xml:space="preserve"> permettent de limiter la valeur crête de la tension à leurs bornes à 80 kV, pour un courant de décharge de 5 kA. Pour un courant de décharge supérieur, des valeurs supérieures de surtension peuvent être rencontrées.</w:t>
      </w:r>
      <w:bookmarkStart w:id="260" w:name="_Hlt15814738"/>
      <w:bookmarkEnd w:id="238"/>
      <w:bookmarkEnd w:id="239"/>
      <w:bookmarkEnd w:id="240"/>
      <w:bookmarkEnd w:id="241"/>
      <w:bookmarkEnd w:id="242"/>
      <w:bookmarkEnd w:id="260"/>
    </w:p>
    <w:p w14:paraId="3C67019B" w14:textId="7879E12D" w:rsidR="00F97290" w:rsidRPr="00FA158B" w:rsidRDefault="00F97290" w:rsidP="000C0CCD">
      <w:pPr>
        <w:pStyle w:val="Titre3"/>
      </w:pPr>
      <w:bookmarkStart w:id="261" w:name="_Hlt533419277"/>
      <w:bookmarkStart w:id="262" w:name="_Hlt10885746"/>
      <w:bookmarkStart w:id="263" w:name="_Toc21422457"/>
      <w:bookmarkEnd w:id="261"/>
      <w:bookmarkEnd w:id="262"/>
      <w:r w:rsidRPr="00FA158B">
        <w:t xml:space="preserve">Prestations </w:t>
      </w:r>
      <w:r w:rsidR="0076712A">
        <w:t>du GRD</w:t>
      </w:r>
      <w:r w:rsidRPr="00FA158B">
        <w:t xml:space="preserve"> relatives à la continuité et à la qualité</w:t>
      </w:r>
      <w:bookmarkEnd w:id="263"/>
      <w:r w:rsidRPr="00FA158B">
        <w:t xml:space="preserve"> </w:t>
      </w:r>
    </w:p>
    <w:p w14:paraId="56B55F3D" w14:textId="77777777" w:rsidR="00F97290" w:rsidRPr="00FA158B" w:rsidRDefault="00F97290" w:rsidP="000C0CCD">
      <w:pPr>
        <w:pStyle w:val="Titre4"/>
      </w:pPr>
      <w:bookmarkStart w:id="264" w:name="_Ref1202091"/>
      <w:r w:rsidRPr="00FA158B">
        <w:t>Bilan annuel</w:t>
      </w:r>
      <w:bookmarkEnd w:id="264"/>
      <w:r w:rsidRPr="00FA158B">
        <w:t xml:space="preserve"> de continuité</w:t>
      </w:r>
    </w:p>
    <w:p w14:paraId="07138F64" w14:textId="1AD521C8" w:rsidR="00F97290" w:rsidRPr="00FA158B" w:rsidRDefault="005D0DFA" w:rsidP="009C3752">
      <w:r>
        <w:t>L</w:t>
      </w:r>
      <w:r w:rsidR="0076712A">
        <w:t>e GRD</w:t>
      </w:r>
      <w:r w:rsidR="00F97290" w:rsidRPr="00FA158B">
        <w:t xml:space="preserve"> fournit chaque année au Fournisseur, pour mise à disposition du Client ayant souscrit un engagement personnalisé, un bilan personnalisé annuel de continuité et, sur simple demande du Fournisseur pour le Client ayant souscrit un engagement standard, un bilan standard annuel de continuité.  </w:t>
      </w:r>
    </w:p>
    <w:p w14:paraId="147095D8" w14:textId="7D7DA72E" w:rsidR="00F97290" w:rsidRPr="00FA158B" w:rsidRDefault="00F97290" w:rsidP="009C3752">
      <w:r w:rsidRPr="00FA158B">
        <w:t xml:space="preserve">Ce bilan récapitule le nombre de Coupures Brèves et Longues subies par le Client pendant les douze mois précédant la date d’envoi du bilan. Les Coupures sont comptabilisées à partir des relevés effectués par </w:t>
      </w:r>
      <w:r w:rsidR="0076712A">
        <w:t>le GRD</w:t>
      </w:r>
      <w:r w:rsidRPr="00FA158B">
        <w:t xml:space="preserve"> sur le Réseau alimentant le Site. La réalisation de ce bilan ne fait pas l'objet d'une facturation spécifique. </w:t>
      </w:r>
    </w:p>
    <w:p w14:paraId="3E3140E2" w14:textId="77777777" w:rsidR="00F97290" w:rsidRPr="00FA158B" w:rsidRDefault="00F97290" w:rsidP="000C0CCD">
      <w:pPr>
        <w:pStyle w:val="Titre4"/>
      </w:pPr>
      <w:bookmarkStart w:id="265" w:name="_Hlt16931224"/>
      <w:bookmarkStart w:id="266" w:name="_Ref533418144"/>
      <w:bookmarkStart w:id="267" w:name="_Ref15290584"/>
      <w:bookmarkEnd w:id="265"/>
      <w:r w:rsidRPr="00FA158B">
        <w:t>Bilan semestriel</w:t>
      </w:r>
      <w:bookmarkEnd w:id="266"/>
      <w:r w:rsidRPr="00FA158B">
        <w:t xml:space="preserve"> de continuité</w:t>
      </w:r>
      <w:bookmarkEnd w:id="267"/>
    </w:p>
    <w:p w14:paraId="0292E789" w14:textId="7810A3A2" w:rsidR="00F97290" w:rsidRPr="00FA158B" w:rsidRDefault="00F97290" w:rsidP="009C3752">
      <w:r w:rsidRPr="00FA158B">
        <w:t xml:space="preserve">Le Client peut, s’il le souhaite, demander via le Fournisseur </w:t>
      </w:r>
      <w:r w:rsidR="0076712A">
        <w:t>au GRD</w:t>
      </w:r>
      <w:r w:rsidRPr="00FA158B">
        <w:t>, un bilan semestriel des engagements de continuité (engagement standard ou personnalisé). Ce bilan ré</w:t>
      </w:r>
      <w:r w:rsidR="00A114A2" w:rsidRPr="00FA158B">
        <w:t>capitule le nombre de Coupures Brèves et L</w:t>
      </w:r>
      <w:r w:rsidRPr="00FA158B">
        <w:t xml:space="preserve">ongues subies par le Client pendant les six mois précédant la date d’envoi du bilan. Les Coupures sont comptabilisées à partir des relevés effectués par </w:t>
      </w:r>
      <w:r w:rsidR="0076712A">
        <w:t>le GRD</w:t>
      </w:r>
      <w:r w:rsidRPr="00FA158B">
        <w:t xml:space="preserve"> sur le Réseau alimentant le</w:t>
      </w:r>
      <w:r w:rsidR="002B3E0E">
        <w:t xml:space="preserve"> Site. Ce bilan donne lieu à la</w:t>
      </w:r>
      <w:r w:rsidRPr="00FA158B">
        <w:t xml:space="preserve"> facturation d’une redevance annuelle au Fournisseur, selon les modalités définies par le Catalogue des prestations </w:t>
      </w:r>
      <w:r w:rsidR="0076712A">
        <w:t>du GRD</w:t>
      </w:r>
      <w:r w:rsidRPr="00FA158B">
        <w:t xml:space="preserve"> en vigueur.</w:t>
      </w:r>
    </w:p>
    <w:p w14:paraId="58C9268B" w14:textId="77777777" w:rsidR="00F97290" w:rsidRPr="00FA158B" w:rsidRDefault="00F97290" w:rsidP="000C0CCD">
      <w:pPr>
        <w:pStyle w:val="Titre4"/>
      </w:pPr>
      <w:bookmarkStart w:id="268" w:name="_Hlt16931235"/>
      <w:bookmarkStart w:id="269" w:name="_Ref532272813"/>
      <w:bookmarkEnd w:id="268"/>
      <w:r w:rsidRPr="00FA158B">
        <w:t>Appareils de mesure de la continuité</w:t>
      </w:r>
      <w:bookmarkEnd w:id="269"/>
    </w:p>
    <w:p w14:paraId="37D8900B" w14:textId="0F9FB5EB" w:rsidR="00F97290" w:rsidRPr="00FA158B" w:rsidRDefault="00F97290" w:rsidP="009C3752">
      <w:r w:rsidRPr="00FA158B">
        <w:t xml:space="preserve">Le Client peut, s’il le souhaite, mettre en place, à ses frais, un enregistreur sur ses propres installations lui permettant de compter le nombre de Coupures subies par son Site. Si cet enregistreur est d'un type accepté par </w:t>
      </w:r>
      <w:r w:rsidR="0076712A">
        <w:t>le GRD</w:t>
      </w:r>
      <w:r w:rsidRPr="00FA158B">
        <w:t xml:space="preserve"> et si sa pose est effectuée selon des dispositions arrêtées d’un commun accord, les relevés effectués par cet enregistreur sont alors présumés exacts dans les rapports entre </w:t>
      </w:r>
      <w:r w:rsidR="0076712A">
        <w:t>le GRD</w:t>
      </w:r>
      <w:r w:rsidRPr="00FA158B">
        <w:t xml:space="preserve"> et le Client. Les mesures relatives à la qualité et à la continuité sont effectuées en conformité avec la norme internationale CEI 61000-4-30.</w:t>
      </w:r>
    </w:p>
    <w:p w14:paraId="0A1AD5E8" w14:textId="6905A7EF" w:rsidR="00F97290" w:rsidRPr="00FA158B" w:rsidRDefault="00F97290" w:rsidP="000C0CCD">
      <w:pPr>
        <w:pStyle w:val="Titre4"/>
      </w:pPr>
      <w:bookmarkStart w:id="270" w:name="_Ref16931249"/>
      <w:r w:rsidRPr="00FA158B">
        <w:t>Engagement relatif à un nombre de Creux de Tension</w:t>
      </w:r>
      <w:bookmarkEnd w:id="270"/>
      <w:r w:rsidR="00D0264B">
        <w:t xml:space="preserve"> </w:t>
      </w:r>
    </w:p>
    <w:p w14:paraId="428CEBF0" w14:textId="4FD8FB32" w:rsidR="00F97290" w:rsidRPr="00FA158B" w:rsidRDefault="00F97290" w:rsidP="009C3752">
      <w:r w:rsidRPr="00FA158B">
        <w:t xml:space="preserve">Si, en application de l’article </w:t>
      </w:r>
      <w:r w:rsidR="00983D6B" w:rsidRPr="00FA158B">
        <w:fldChar w:fldCharType="begin"/>
      </w:r>
      <w:r w:rsidR="00983D6B" w:rsidRPr="00FA158B">
        <w:instrText xml:space="preserve"> REF _Ref529865393 \r \h  \* MERGEFORMAT </w:instrText>
      </w:r>
      <w:r w:rsidR="00983D6B" w:rsidRPr="00FA158B">
        <w:fldChar w:fldCharType="separate"/>
      </w:r>
      <w:r w:rsidR="005E7E99">
        <w:t>5.1.3.2</w:t>
      </w:r>
      <w:r w:rsidR="00983D6B" w:rsidRPr="00FA158B">
        <w:fldChar w:fldCharType="end"/>
      </w:r>
      <w:r w:rsidRPr="00FA158B">
        <w:t xml:space="preserve"> des présentes dispositions générales, le Client demande – via le Fournisseur - un engagement personnalisé en matière de qualité de l'onde, relatif à un nombre de Creux de Tension, </w:t>
      </w:r>
      <w:r w:rsidR="0076712A">
        <w:t>le GRD</w:t>
      </w:r>
      <w:r w:rsidRPr="00FA158B">
        <w:t xml:space="preserve"> fournit, installe et entretient un appareil au Point de Livraison. Dans ce cas, les équipements contenus dans le coffret de cet appareil ainsi que le coffret lui-même appartiennent </w:t>
      </w:r>
      <w:r w:rsidR="0076712A">
        <w:t>au GRD</w:t>
      </w:r>
      <w:r w:rsidRPr="00FA158B">
        <w:t xml:space="preserve">. Les raccordements externes, ainsi que la liaison de télécommunication, sont à la charge du Client et entretenus par ses soins. </w:t>
      </w:r>
    </w:p>
    <w:p w14:paraId="33443B0B" w14:textId="52297C36" w:rsidR="00F97290" w:rsidRPr="00FA158B" w:rsidRDefault="00F97290" w:rsidP="009C3752">
      <w:r w:rsidRPr="00FA158B">
        <w:t xml:space="preserve">Le Fournisseur est tenu au paiement d’une redevance annuelle au titre de l'installation de l’appareil et du suivi de la qualité (bilan annuel ou semestriel) selon les modalités définies par le Catalogue des prestations </w:t>
      </w:r>
      <w:r w:rsidR="0076712A">
        <w:t>du GRD</w:t>
      </w:r>
      <w:r w:rsidRPr="00FA158B">
        <w:t xml:space="preserve"> en vigueur. </w:t>
      </w:r>
    </w:p>
    <w:p w14:paraId="5B99DB34" w14:textId="226D24A7" w:rsidR="00F97290" w:rsidRPr="00FA158B" w:rsidRDefault="00F97290" w:rsidP="000C0CCD">
      <w:pPr>
        <w:pStyle w:val="Titre3"/>
      </w:pPr>
      <w:bookmarkStart w:id="271" w:name="_Toc21422458"/>
      <w:r w:rsidRPr="00FA158B">
        <w:t xml:space="preserve">Mesures prises par </w:t>
      </w:r>
      <w:r w:rsidR="0076712A">
        <w:t>le GRD</w:t>
      </w:r>
      <w:r w:rsidRPr="00FA158B">
        <w:t xml:space="preserve"> pour l’information des Clients en cas d'incident affectant le RPD</w:t>
      </w:r>
      <w:r w:rsidR="00980144">
        <w:t xml:space="preserve"> </w:t>
      </w:r>
      <w:bookmarkEnd w:id="271"/>
    </w:p>
    <w:p w14:paraId="387B3B4C" w14:textId="1C7B61DA" w:rsidR="00F97290" w:rsidRPr="00FA158B" w:rsidRDefault="005D0DFA" w:rsidP="009C3752">
      <w:r>
        <w:t>L</w:t>
      </w:r>
      <w:r w:rsidR="0076712A">
        <w:t>e GRD</w:t>
      </w:r>
      <w:r w:rsidR="00F97290" w:rsidRPr="00FA158B">
        <w:t xml:space="preserve"> met à disposition des moyens permettant au Client d’obtenir les renseignements en possession </w:t>
      </w:r>
      <w:r w:rsidR="0076712A">
        <w:t>du GRD</w:t>
      </w:r>
      <w:r w:rsidR="00F97290" w:rsidRPr="00FA158B">
        <w:t xml:space="preserve"> relatifs à la Coupure subie (à titre d’information, les principaux moyens utilisés sont une application mobile, un numéro d’appel téléphonique, avec accès personnalisé, figurant sur la facture du Fournisseur adressée au Client).</w:t>
      </w:r>
    </w:p>
    <w:p w14:paraId="6A9EB18B" w14:textId="4465A32A" w:rsidR="00F97290" w:rsidRPr="00FA158B" w:rsidRDefault="00F97290" w:rsidP="009C3752">
      <w:r w:rsidRPr="00FA158B">
        <w:t xml:space="preserve">Le tableau ci-dessous résume les services d'information offerts par </w:t>
      </w:r>
      <w:r w:rsidR="0076712A">
        <w:t>le GRD</w:t>
      </w:r>
      <w:r w:rsidRPr="00FA158B">
        <w:t xml:space="preserve"> hors régime perturbé et situations de crise.</w:t>
      </w:r>
    </w:p>
    <w:p w14:paraId="650E00A7" w14:textId="0A315A3A" w:rsidR="00F97290" w:rsidRPr="00FA158B" w:rsidRDefault="00F97290" w:rsidP="009C3752">
      <w:r w:rsidRPr="00FA158B">
        <w:t xml:space="preserve">Toute demande relative à d’autres prestations, ou à une extension des prestations proposées à d’autres catégories de Points de Livraison que celles mentionnées dans le tableau ci-dessous est étudiée par </w:t>
      </w:r>
      <w:r w:rsidR="0076712A">
        <w:t>le GRD</w:t>
      </w:r>
      <w:r w:rsidRPr="00FA158B">
        <w:t xml:space="preserve"> et fait l’objet d’un devis.</w:t>
      </w:r>
    </w:p>
    <w:p w14:paraId="653BFABB" w14:textId="77777777" w:rsidR="00F97290" w:rsidRPr="00FA158B" w:rsidRDefault="00F97290" w:rsidP="00A114A2">
      <w:pPr>
        <w:spacing w:after="0"/>
      </w:pPr>
      <w:r w:rsidRPr="00FA158B">
        <w:t>Les seuls incidents concernés par ces prestations d'information son</w:t>
      </w:r>
      <w:r w:rsidR="00710023" w:rsidRPr="00FA158B">
        <w:t>t ceux résultant d’une Coupure L</w:t>
      </w:r>
      <w:r w:rsidRPr="00FA158B">
        <w:t xml:space="preserve">ongue sur le réseau HTA. </w:t>
      </w:r>
    </w:p>
    <w:p w14:paraId="490EBFA2" w14:textId="77777777" w:rsidR="00F97290" w:rsidRPr="00FA158B" w:rsidRDefault="00F97290" w:rsidP="00A114A2">
      <w:pPr>
        <w:pStyle w:val="Normal1"/>
        <w:spacing w:before="0" w:after="0"/>
        <w:rPr>
          <w:sz w:val="16"/>
          <w:szCs w:val="16"/>
        </w:rPr>
      </w:pPr>
    </w:p>
    <w:tbl>
      <w:tblPr>
        <w:tblW w:w="8946" w:type="dxa"/>
        <w:tblInd w:w="1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3"/>
        <w:gridCol w:w="2977"/>
        <w:gridCol w:w="1024"/>
        <w:gridCol w:w="850"/>
        <w:gridCol w:w="992"/>
      </w:tblGrid>
      <w:tr w:rsidR="00F97290" w:rsidRPr="00FA158B" w14:paraId="3854D36C" w14:textId="77777777" w:rsidTr="00A114A2">
        <w:trPr>
          <w:cantSplit/>
          <w:trHeight w:val="567"/>
        </w:trPr>
        <w:tc>
          <w:tcPr>
            <w:tcW w:w="3103" w:type="dxa"/>
            <w:tcBorders>
              <w:top w:val="single" w:sz="6" w:space="0" w:color="auto"/>
              <w:left w:val="single" w:sz="6" w:space="0" w:color="auto"/>
              <w:bottom w:val="single" w:sz="6" w:space="0" w:color="auto"/>
              <w:right w:val="single" w:sz="6" w:space="0" w:color="auto"/>
            </w:tcBorders>
            <w:vAlign w:val="center"/>
          </w:tcPr>
          <w:p w14:paraId="55DA92AD" w14:textId="77777777" w:rsidR="00F97290" w:rsidRPr="00FA158B" w:rsidRDefault="00F97290" w:rsidP="003864D6">
            <w:pPr>
              <w:jc w:val="center"/>
            </w:pPr>
            <w:r w:rsidRPr="00FA158B">
              <w:lastRenderedPageBreak/>
              <w:t>Nom du service</w:t>
            </w:r>
          </w:p>
        </w:tc>
        <w:tc>
          <w:tcPr>
            <w:tcW w:w="2977" w:type="dxa"/>
            <w:tcBorders>
              <w:top w:val="single" w:sz="6" w:space="0" w:color="auto"/>
              <w:left w:val="single" w:sz="6" w:space="0" w:color="auto"/>
              <w:bottom w:val="single" w:sz="6" w:space="0" w:color="auto"/>
              <w:right w:val="single" w:sz="6" w:space="0" w:color="auto"/>
            </w:tcBorders>
            <w:vAlign w:val="center"/>
          </w:tcPr>
          <w:p w14:paraId="3D39D51C" w14:textId="77777777" w:rsidR="00F97290" w:rsidRPr="00FA158B" w:rsidRDefault="00F97290" w:rsidP="003864D6">
            <w:pPr>
              <w:jc w:val="center"/>
              <w:rPr>
                <w:rFonts w:ascii="Arial" w:hAnsi="Arial" w:cs="Arial"/>
                <w:bCs/>
              </w:rPr>
            </w:pPr>
            <w:r w:rsidRPr="00FA158B">
              <w:t>Description</w:t>
            </w:r>
          </w:p>
        </w:tc>
        <w:tc>
          <w:tcPr>
            <w:tcW w:w="1024" w:type="dxa"/>
            <w:tcBorders>
              <w:top w:val="single" w:sz="6" w:space="0" w:color="auto"/>
              <w:left w:val="single" w:sz="6" w:space="0" w:color="auto"/>
              <w:bottom w:val="single" w:sz="6" w:space="0" w:color="auto"/>
              <w:right w:val="single" w:sz="6" w:space="0" w:color="auto"/>
            </w:tcBorders>
            <w:vAlign w:val="center"/>
          </w:tcPr>
          <w:p w14:paraId="6EB159FA" w14:textId="170B5583" w:rsidR="00F97290" w:rsidRPr="00FA158B" w:rsidRDefault="002B3E0E" w:rsidP="003864D6">
            <w:pPr>
              <w:spacing w:after="0"/>
              <w:jc w:val="center"/>
            </w:pPr>
            <w:r>
              <w:t xml:space="preserve">PDL </w:t>
            </w:r>
            <w:r w:rsidR="00F97290" w:rsidRPr="00FA158B">
              <w:t>HTA</w:t>
            </w:r>
          </w:p>
          <w:p w14:paraId="24D5BE9D" w14:textId="77777777" w:rsidR="00F97290" w:rsidRPr="00FA158B" w:rsidRDefault="00F97290" w:rsidP="003864D6">
            <w:pPr>
              <w:spacing w:before="0"/>
              <w:jc w:val="center"/>
            </w:pPr>
            <w:r w:rsidRPr="00FA158B">
              <w:t>&gt; 2 MW</w:t>
            </w:r>
          </w:p>
        </w:tc>
        <w:tc>
          <w:tcPr>
            <w:tcW w:w="850" w:type="dxa"/>
            <w:tcBorders>
              <w:top w:val="single" w:sz="6" w:space="0" w:color="auto"/>
              <w:left w:val="single" w:sz="6" w:space="0" w:color="auto"/>
              <w:bottom w:val="single" w:sz="6" w:space="0" w:color="auto"/>
              <w:right w:val="single" w:sz="6" w:space="0" w:color="auto"/>
            </w:tcBorders>
            <w:vAlign w:val="center"/>
          </w:tcPr>
          <w:p w14:paraId="36FE4B00" w14:textId="77777777" w:rsidR="00F97290" w:rsidRPr="00FA158B" w:rsidRDefault="00F97290" w:rsidP="003864D6">
            <w:pPr>
              <w:jc w:val="center"/>
            </w:pPr>
            <w:r w:rsidRPr="00FA158B">
              <w:t>Autres PDL HTA</w:t>
            </w:r>
          </w:p>
        </w:tc>
        <w:tc>
          <w:tcPr>
            <w:tcW w:w="992" w:type="dxa"/>
            <w:tcBorders>
              <w:top w:val="single" w:sz="6" w:space="0" w:color="auto"/>
              <w:left w:val="single" w:sz="6" w:space="0" w:color="auto"/>
              <w:bottom w:val="single" w:sz="6" w:space="0" w:color="auto"/>
              <w:right w:val="single" w:sz="6" w:space="0" w:color="auto"/>
            </w:tcBorders>
            <w:vAlign w:val="center"/>
          </w:tcPr>
          <w:p w14:paraId="54902128" w14:textId="77777777" w:rsidR="00F97290" w:rsidRPr="00FA158B" w:rsidRDefault="00F97290" w:rsidP="003864D6">
            <w:pPr>
              <w:jc w:val="center"/>
            </w:pPr>
            <w:r w:rsidRPr="00FA158B">
              <w:t>PDL PHRV (*)</w:t>
            </w:r>
          </w:p>
        </w:tc>
      </w:tr>
      <w:tr w:rsidR="00F97290" w:rsidRPr="00FA158B" w14:paraId="27B88A82" w14:textId="77777777" w:rsidTr="00A114A2">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293FB28C" w14:textId="77777777" w:rsidR="00F97290" w:rsidRPr="00FA158B" w:rsidRDefault="00F97290" w:rsidP="003864D6">
            <w:pPr>
              <w:jc w:val="center"/>
            </w:pPr>
            <w:r w:rsidRPr="00FA158B">
              <w:t>Information sur incident par téléphone</w:t>
            </w:r>
          </w:p>
        </w:tc>
        <w:tc>
          <w:tcPr>
            <w:tcW w:w="2977" w:type="dxa"/>
            <w:tcBorders>
              <w:top w:val="single" w:sz="6" w:space="0" w:color="auto"/>
              <w:left w:val="single" w:sz="6" w:space="0" w:color="auto"/>
              <w:bottom w:val="single" w:sz="6" w:space="0" w:color="auto"/>
              <w:right w:val="single" w:sz="6" w:space="0" w:color="auto"/>
            </w:tcBorders>
            <w:vAlign w:val="center"/>
          </w:tcPr>
          <w:p w14:paraId="0BB1764F" w14:textId="77777777" w:rsidR="00F97290" w:rsidRPr="00FA158B" w:rsidRDefault="00F97290" w:rsidP="003864D6">
            <w:pPr>
              <w:jc w:val="center"/>
            </w:pPr>
            <w:r w:rsidRPr="00FA158B">
              <w:t>Appel téléphonique en début et en fin d’incident</w:t>
            </w:r>
          </w:p>
        </w:tc>
        <w:tc>
          <w:tcPr>
            <w:tcW w:w="1024" w:type="dxa"/>
            <w:tcBorders>
              <w:top w:val="single" w:sz="6" w:space="0" w:color="auto"/>
              <w:left w:val="single" w:sz="6" w:space="0" w:color="auto"/>
              <w:bottom w:val="single" w:sz="6" w:space="0" w:color="auto"/>
              <w:right w:val="single" w:sz="6" w:space="0" w:color="auto"/>
            </w:tcBorders>
            <w:vAlign w:val="center"/>
          </w:tcPr>
          <w:p w14:paraId="3214792F" w14:textId="77777777" w:rsidR="00F97290" w:rsidRPr="00FA158B" w:rsidRDefault="00F97290" w:rsidP="00F84F73">
            <w:pPr>
              <w:jc w:val="center"/>
            </w:pPr>
            <w:r w:rsidRPr="00FA158B">
              <w:t>X</w:t>
            </w:r>
          </w:p>
        </w:tc>
        <w:tc>
          <w:tcPr>
            <w:tcW w:w="850" w:type="dxa"/>
            <w:tcBorders>
              <w:top w:val="single" w:sz="6" w:space="0" w:color="auto"/>
              <w:left w:val="single" w:sz="6" w:space="0" w:color="auto"/>
              <w:bottom w:val="single" w:sz="6" w:space="0" w:color="auto"/>
              <w:right w:val="single" w:sz="6" w:space="0" w:color="auto"/>
            </w:tcBorders>
            <w:shd w:val="clear" w:color="auto" w:fill="B3B3B3"/>
            <w:vAlign w:val="center"/>
          </w:tcPr>
          <w:p w14:paraId="5679DAA9" w14:textId="77777777" w:rsidR="00F97290" w:rsidRPr="00FA158B" w:rsidRDefault="00F97290" w:rsidP="00F84F73">
            <w:pPr>
              <w:jc w:val="center"/>
            </w:pPr>
          </w:p>
        </w:tc>
        <w:tc>
          <w:tcPr>
            <w:tcW w:w="992" w:type="dxa"/>
            <w:tcBorders>
              <w:top w:val="single" w:sz="6" w:space="0" w:color="auto"/>
              <w:left w:val="single" w:sz="6" w:space="0" w:color="auto"/>
              <w:bottom w:val="single" w:sz="6" w:space="0" w:color="auto"/>
              <w:right w:val="single" w:sz="6" w:space="0" w:color="auto"/>
            </w:tcBorders>
            <w:shd w:val="clear" w:color="auto" w:fill="B3B3B3"/>
            <w:vAlign w:val="center"/>
          </w:tcPr>
          <w:p w14:paraId="1BC67664" w14:textId="77777777" w:rsidR="00F97290" w:rsidRPr="00FA158B" w:rsidRDefault="00F97290" w:rsidP="00F84F73">
            <w:pPr>
              <w:jc w:val="center"/>
            </w:pPr>
          </w:p>
        </w:tc>
      </w:tr>
      <w:tr w:rsidR="00F97290" w:rsidRPr="00FA158B" w14:paraId="2FD18AC5" w14:textId="77777777" w:rsidTr="00A114A2">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6DA66F32" w14:textId="77777777" w:rsidR="00F97290" w:rsidRPr="00FA158B" w:rsidRDefault="00F97290" w:rsidP="003864D6">
            <w:pPr>
              <w:jc w:val="center"/>
            </w:pPr>
            <w:r w:rsidRPr="00FA158B">
              <w:t>Information personnalisée sur les incidents en temps réel</w:t>
            </w:r>
          </w:p>
        </w:tc>
        <w:tc>
          <w:tcPr>
            <w:tcW w:w="2977" w:type="dxa"/>
            <w:tcBorders>
              <w:top w:val="single" w:sz="6" w:space="0" w:color="auto"/>
              <w:left w:val="single" w:sz="6" w:space="0" w:color="auto"/>
              <w:bottom w:val="single" w:sz="6" w:space="0" w:color="auto"/>
              <w:right w:val="single" w:sz="6" w:space="0" w:color="auto"/>
            </w:tcBorders>
            <w:vAlign w:val="center"/>
          </w:tcPr>
          <w:p w14:paraId="2504C66E" w14:textId="225F1FFD" w:rsidR="00F97290" w:rsidRPr="00FA158B" w:rsidRDefault="00F97290" w:rsidP="003864D6">
            <w:pPr>
              <w:jc w:val="center"/>
            </w:pPr>
            <w:r w:rsidRPr="00FA158B">
              <w:t xml:space="preserve">Accès dédié au centre d’appel dépannage </w:t>
            </w:r>
            <w:r w:rsidR="0076712A">
              <w:t>du GRD</w:t>
            </w:r>
            <w:r w:rsidRPr="00FA158B">
              <w:t xml:space="preserve"> pour obtenir des informations sur la Coupure</w:t>
            </w:r>
          </w:p>
        </w:tc>
        <w:tc>
          <w:tcPr>
            <w:tcW w:w="1024" w:type="dxa"/>
            <w:tcBorders>
              <w:top w:val="single" w:sz="6" w:space="0" w:color="auto"/>
              <w:left w:val="single" w:sz="6" w:space="0" w:color="auto"/>
              <w:bottom w:val="single" w:sz="6" w:space="0" w:color="auto"/>
              <w:right w:val="single" w:sz="6" w:space="0" w:color="auto"/>
            </w:tcBorders>
            <w:vAlign w:val="center"/>
          </w:tcPr>
          <w:p w14:paraId="433D27C7" w14:textId="77777777" w:rsidR="00F97290" w:rsidRPr="00FA158B" w:rsidRDefault="00F97290" w:rsidP="00F84F73">
            <w:pPr>
              <w:jc w:val="center"/>
            </w:pPr>
            <w:r w:rsidRPr="00FA158B">
              <w:t>X</w:t>
            </w:r>
          </w:p>
        </w:tc>
        <w:tc>
          <w:tcPr>
            <w:tcW w:w="850" w:type="dxa"/>
            <w:tcBorders>
              <w:top w:val="single" w:sz="6" w:space="0" w:color="auto"/>
              <w:left w:val="single" w:sz="6" w:space="0" w:color="auto"/>
              <w:bottom w:val="single" w:sz="6" w:space="0" w:color="auto"/>
              <w:right w:val="single" w:sz="6" w:space="0" w:color="auto"/>
            </w:tcBorders>
            <w:vAlign w:val="center"/>
          </w:tcPr>
          <w:p w14:paraId="1C2BD184" w14:textId="77777777" w:rsidR="00F97290" w:rsidRPr="00FA158B" w:rsidRDefault="00F97290" w:rsidP="00F84F73">
            <w:pPr>
              <w:jc w:val="center"/>
            </w:pPr>
            <w:r w:rsidRPr="00FA158B">
              <w:t>X</w:t>
            </w:r>
          </w:p>
        </w:tc>
        <w:tc>
          <w:tcPr>
            <w:tcW w:w="992" w:type="dxa"/>
            <w:tcBorders>
              <w:top w:val="single" w:sz="6" w:space="0" w:color="auto"/>
              <w:left w:val="single" w:sz="6" w:space="0" w:color="auto"/>
              <w:bottom w:val="single" w:sz="6" w:space="0" w:color="auto"/>
              <w:right w:val="single" w:sz="6" w:space="0" w:color="auto"/>
            </w:tcBorders>
            <w:vAlign w:val="center"/>
          </w:tcPr>
          <w:p w14:paraId="58116EB9" w14:textId="77777777" w:rsidR="00F97290" w:rsidRPr="00FA158B" w:rsidRDefault="00F97290" w:rsidP="00F84F73">
            <w:pPr>
              <w:jc w:val="center"/>
            </w:pPr>
            <w:r w:rsidRPr="00FA158B">
              <w:t>X</w:t>
            </w:r>
          </w:p>
        </w:tc>
      </w:tr>
      <w:tr w:rsidR="00F97290" w:rsidRPr="00FA158B" w14:paraId="5702D7DC" w14:textId="77777777" w:rsidTr="00A114A2">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14C5800F" w14:textId="77777777" w:rsidR="00F97290" w:rsidRPr="00FA158B" w:rsidRDefault="00F97290" w:rsidP="003864D6">
            <w:pPr>
              <w:jc w:val="center"/>
            </w:pPr>
            <w:r w:rsidRPr="00FA158B">
              <w:t>Rapport détaillé d'incident</w:t>
            </w:r>
          </w:p>
        </w:tc>
        <w:tc>
          <w:tcPr>
            <w:tcW w:w="2977" w:type="dxa"/>
            <w:tcBorders>
              <w:top w:val="single" w:sz="6" w:space="0" w:color="auto"/>
              <w:left w:val="single" w:sz="6" w:space="0" w:color="auto"/>
              <w:bottom w:val="single" w:sz="6" w:space="0" w:color="auto"/>
              <w:right w:val="single" w:sz="6" w:space="0" w:color="auto"/>
            </w:tcBorders>
            <w:vAlign w:val="center"/>
          </w:tcPr>
          <w:p w14:paraId="77CE86C7" w14:textId="365AFA3D" w:rsidR="00F97290" w:rsidRPr="00FA158B" w:rsidRDefault="00F97290" w:rsidP="003864D6">
            <w:pPr>
              <w:jc w:val="center"/>
            </w:pPr>
            <w:r w:rsidRPr="00FA158B">
              <w:t xml:space="preserve">Fourni sur demande adressée </w:t>
            </w:r>
            <w:r w:rsidR="0076712A">
              <w:t>au GRD</w:t>
            </w:r>
            <w:r w:rsidR="009B586A" w:rsidRPr="00FA158B">
              <w:t xml:space="preserve"> </w:t>
            </w:r>
            <w:r w:rsidRPr="00FA158B">
              <w:t>via le Fournisseur</w:t>
            </w:r>
          </w:p>
        </w:tc>
        <w:tc>
          <w:tcPr>
            <w:tcW w:w="1024" w:type="dxa"/>
            <w:tcBorders>
              <w:top w:val="single" w:sz="6" w:space="0" w:color="auto"/>
              <w:left w:val="single" w:sz="6" w:space="0" w:color="auto"/>
              <w:bottom w:val="single" w:sz="6" w:space="0" w:color="auto"/>
              <w:right w:val="single" w:sz="6" w:space="0" w:color="auto"/>
            </w:tcBorders>
            <w:vAlign w:val="center"/>
          </w:tcPr>
          <w:p w14:paraId="49157D7F" w14:textId="77777777" w:rsidR="00F97290" w:rsidRPr="00FA158B" w:rsidRDefault="00F97290" w:rsidP="009C3752"/>
        </w:tc>
        <w:tc>
          <w:tcPr>
            <w:tcW w:w="850" w:type="dxa"/>
            <w:tcBorders>
              <w:top w:val="single" w:sz="6" w:space="0" w:color="auto"/>
              <w:left w:val="single" w:sz="6" w:space="0" w:color="auto"/>
              <w:bottom w:val="single" w:sz="6" w:space="0" w:color="auto"/>
              <w:right w:val="single" w:sz="6" w:space="0" w:color="auto"/>
            </w:tcBorders>
            <w:shd w:val="clear" w:color="auto" w:fill="B3B3B3"/>
            <w:vAlign w:val="center"/>
          </w:tcPr>
          <w:p w14:paraId="587C5F0E" w14:textId="77777777" w:rsidR="00F97290" w:rsidRPr="00FA158B" w:rsidRDefault="00F97290" w:rsidP="009C3752"/>
        </w:tc>
        <w:tc>
          <w:tcPr>
            <w:tcW w:w="992" w:type="dxa"/>
            <w:tcBorders>
              <w:top w:val="single" w:sz="6" w:space="0" w:color="auto"/>
              <w:left w:val="single" w:sz="6" w:space="0" w:color="auto"/>
              <w:bottom w:val="single" w:sz="6" w:space="0" w:color="auto"/>
              <w:right w:val="single" w:sz="6" w:space="0" w:color="auto"/>
            </w:tcBorders>
            <w:shd w:val="pct35" w:color="auto" w:fill="FFFFFF"/>
            <w:vAlign w:val="center"/>
          </w:tcPr>
          <w:p w14:paraId="365787D5" w14:textId="77777777" w:rsidR="00F97290" w:rsidRPr="00FA158B" w:rsidRDefault="00F97290" w:rsidP="009C3752"/>
        </w:tc>
      </w:tr>
    </w:tbl>
    <w:p w14:paraId="231FF8D4" w14:textId="77777777" w:rsidR="00F97290" w:rsidRPr="00FA158B" w:rsidRDefault="00F97290" w:rsidP="00A114A2">
      <w:r w:rsidRPr="00FA158B">
        <w:t>(*) PHRV : Patient à Haut Risque Vital</w:t>
      </w:r>
    </w:p>
    <w:p w14:paraId="1C9991B1" w14:textId="77777777" w:rsidR="00F97290" w:rsidRPr="00FA158B" w:rsidRDefault="00F97290" w:rsidP="009C3752">
      <w:pPr>
        <w:pStyle w:val="Titre2"/>
      </w:pPr>
      <w:bookmarkStart w:id="272" w:name="_Ref151173394"/>
      <w:bookmarkStart w:id="273" w:name="_Toc472522892"/>
      <w:bookmarkStart w:id="274" w:name="_Toc21422459"/>
      <w:bookmarkStart w:id="275" w:name="_Toc55891451"/>
      <w:bookmarkStart w:id="276" w:name="_Ref58223059"/>
      <w:r w:rsidRPr="00FA158B">
        <w:t>Engagements du Client</w:t>
      </w:r>
      <w:bookmarkEnd w:id="272"/>
      <w:bookmarkEnd w:id="273"/>
      <w:bookmarkEnd w:id="274"/>
      <w:r w:rsidRPr="00FA158B">
        <w:t xml:space="preserve"> </w:t>
      </w:r>
      <w:bookmarkEnd w:id="275"/>
      <w:bookmarkEnd w:id="276"/>
    </w:p>
    <w:p w14:paraId="4A770160" w14:textId="77777777" w:rsidR="00F97290" w:rsidRPr="00FA158B" w:rsidRDefault="00F97290" w:rsidP="000C0CCD">
      <w:pPr>
        <w:pStyle w:val="Titre3"/>
      </w:pPr>
      <w:bookmarkStart w:id="277" w:name="_Toc21422460"/>
      <w:r w:rsidRPr="00FA158B">
        <w:t>Obligation de prudence</w:t>
      </w:r>
      <w:bookmarkEnd w:id="277"/>
    </w:p>
    <w:p w14:paraId="527CA40E" w14:textId="5B3EBB05" w:rsidR="00F97290" w:rsidRPr="00FA158B" w:rsidRDefault="00F97290" w:rsidP="009C3752">
      <w:r w:rsidRPr="00FA158B">
        <w:t xml:space="preserve">Si le Client le demande, </w:t>
      </w:r>
      <w:r w:rsidRPr="00FA158B">
        <w:rPr>
          <w:iCs/>
        </w:rPr>
        <w:t>via</w:t>
      </w:r>
      <w:r w:rsidRPr="00FA158B">
        <w:t xml:space="preserve"> le Fournisseur, </w:t>
      </w:r>
      <w:r w:rsidR="0076712A">
        <w:t>le GRD</w:t>
      </w:r>
      <w:r w:rsidRPr="00FA158B">
        <w:t xml:space="preserve"> lui adresse les informations sur les conditions de qualité et de continuité du Site, sur leurs évolutions envisageables ainsi que sur les mesures habituelles que le Client peut prendre pour minimiser les conséquences des aléas de distribution, tout particulièrement s'il a subi des dommages suite à une perturbation électrique.</w:t>
      </w:r>
    </w:p>
    <w:p w14:paraId="12AE814F" w14:textId="77777777" w:rsidR="00F97290" w:rsidRPr="00FA158B" w:rsidRDefault="00F97290" w:rsidP="009C3752">
      <w:r w:rsidRPr="00FA158B">
        <w:t>Il appartient ensuite au Client, dûment informé par le Fournisseur des aléas décrits ci-dessus, de prendre les mesures économiquement raisonnables et techniquement efficaces pour en minimiser, dans la mesure du possible, les conséquences sur ses installations. Il peut s’agir, à titre d'exemples, de l'optimisation des schémas électriques, de l'installation de dispositifs d'arrêt d'urgence, de la mise en place d'onduleurs ou de groupes de sécurité.</w:t>
      </w:r>
    </w:p>
    <w:p w14:paraId="4BA36D78" w14:textId="109985E3" w:rsidR="00F97290" w:rsidRPr="00FA158B" w:rsidRDefault="00F97290" w:rsidP="009C3752">
      <w:r w:rsidRPr="00FA158B">
        <w:t xml:space="preserve">Le respect, par </w:t>
      </w:r>
      <w:r w:rsidR="0076712A">
        <w:t>le GRD</w:t>
      </w:r>
      <w:r w:rsidRPr="00FA158B">
        <w:t xml:space="preserve">, des obligations détaillées à l’article </w:t>
      </w:r>
      <w:r w:rsidR="00983D6B" w:rsidRPr="00FA158B">
        <w:fldChar w:fldCharType="begin"/>
      </w:r>
      <w:r w:rsidR="00983D6B" w:rsidRPr="00FA158B">
        <w:instrText xml:space="preserve"> REF _Ref535921021 \r \h  \* MERGEFORMAT </w:instrText>
      </w:r>
      <w:r w:rsidR="00983D6B" w:rsidRPr="00FA158B">
        <w:fldChar w:fldCharType="separate"/>
      </w:r>
      <w:r w:rsidR="005E7E99">
        <w:t>5.1</w:t>
      </w:r>
      <w:r w:rsidR="00983D6B" w:rsidRPr="00FA158B">
        <w:fldChar w:fldCharType="end"/>
      </w:r>
      <w:r w:rsidRPr="00FA158B">
        <w:t xml:space="preserve"> des présentes dispositions générales suppose que le Client limite les perturbations générées par ses propres installations, conformément aux dispositions des articles </w:t>
      </w:r>
      <w:r w:rsidR="00983D6B" w:rsidRPr="00FA158B">
        <w:fldChar w:fldCharType="begin"/>
      </w:r>
      <w:r w:rsidR="00983D6B" w:rsidRPr="00FA158B">
        <w:instrText xml:space="preserve"> REF _Ref143520105 \r \h  \* MERGEFORMAT </w:instrText>
      </w:r>
      <w:r w:rsidR="00983D6B" w:rsidRPr="00FA158B">
        <w:fldChar w:fldCharType="separate"/>
      </w:r>
      <w:r w:rsidR="005E7E99">
        <w:t>5.2.2</w:t>
      </w:r>
      <w:r w:rsidR="00983D6B" w:rsidRPr="00FA158B">
        <w:fldChar w:fldCharType="end"/>
      </w:r>
      <w:r w:rsidRPr="00FA158B">
        <w:t xml:space="preserve"> et </w:t>
      </w:r>
      <w:r w:rsidR="00983D6B" w:rsidRPr="00FA158B">
        <w:fldChar w:fldCharType="begin"/>
      </w:r>
      <w:r w:rsidR="00983D6B" w:rsidRPr="00FA158B">
        <w:instrText xml:space="preserve"> REF _Ref40763875 \r \h  \* MERGEFORMAT </w:instrText>
      </w:r>
      <w:r w:rsidR="00983D6B" w:rsidRPr="00FA158B">
        <w:fldChar w:fldCharType="separate"/>
      </w:r>
      <w:r w:rsidR="005E7E99">
        <w:t>8.2</w:t>
      </w:r>
      <w:r w:rsidR="00983D6B" w:rsidRPr="00FA158B">
        <w:fldChar w:fldCharType="end"/>
      </w:r>
      <w:r w:rsidRPr="00FA158B">
        <w:t xml:space="preserve"> des présentes dispositions générales.</w:t>
      </w:r>
    </w:p>
    <w:p w14:paraId="57AB7028" w14:textId="77777777" w:rsidR="00F97290" w:rsidRPr="00FA158B" w:rsidRDefault="00F97290" w:rsidP="009C3752">
      <w:r w:rsidRPr="00FA158B">
        <w:t xml:space="preserve">Pour ce faire, le Client s’engage à s’équiper, à ses frais, des appareils nécessaires, et à faire remédier à toute défectuosité qui pourrait se manifester. Les éventuels désaccords sur les mesures à prendre en vue de faire disparaître toutes causes de danger ou de limiter les troubles dans le fonctionnement du réseau sont réglés conformément au chapitre </w:t>
      </w:r>
      <w:r w:rsidR="00983D6B" w:rsidRPr="00FA158B">
        <w:fldChar w:fldCharType="begin"/>
      </w:r>
      <w:r w:rsidR="00983D6B" w:rsidRPr="00FA158B">
        <w:instrText xml:space="preserve"> REF _Ref53832949 \r \h  \* MERGEFORMAT </w:instrText>
      </w:r>
      <w:r w:rsidR="00983D6B" w:rsidRPr="00FA158B">
        <w:fldChar w:fldCharType="separate"/>
      </w:r>
      <w:r w:rsidR="005E7E99">
        <w:t>9</w:t>
      </w:r>
      <w:r w:rsidR="00983D6B" w:rsidRPr="00FA158B">
        <w:fldChar w:fldCharType="end"/>
      </w:r>
      <w:r w:rsidRPr="00FA158B">
        <w:t xml:space="preserve"> des présentes dispositions générales. Il en va de même dans le cas où le Client refuserait de prendre les dispositions visant à limiter ses propres perturbations conformément aux tolérances précisées.</w:t>
      </w:r>
    </w:p>
    <w:p w14:paraId="66FA8705" w14:textId="6CB20B7C" w:rsidR="00F97290" w:rsidRPr="00FA158B" w:rsidRDefault="00F97290" w:rsidP="009C3752">
      <w:r w:rsidRPr="00FA158B">
        <w:t xml:space="preserve">Ces dispositions s’appliquent sans préjudice de tout recours en indemnité, notamment dans l’hypothèse où la responsabilité </w:t>
      </w:r>
      <w:r w:rsidR="0076712A">
        <w:t>du GRD</w:t>
      </w:r>
      <w:r w:rsidRPr="00FA158B">
        <w:t xml:space="preserve"> serait recherchée par un autre client du fait des conséquences des perturbations générées par le Client.</w:t>
      </w:r>
    </w:p>
    <w:p w14:paraId="341AB883" w14:textId="77777777" w:rsidR="00F97290" w:rsidRPr="00FA158B" w:rsidRDefault="00F97290" w:rsidP="000C0CCD">
      <w:pPr>
        <w:pStyle w:val="Titre3"/>
      </w:pPr>
      <w:bookmarkStart w:id="278" w:name="_Ref143520105"/>
      <w:bookmarkStart w:id="279" w:name="_Toc21422461"/>
      <w:r w:rsidRPr="00FA158B">
        <w:t>Engagements du Client sur les niveaux de perturbation générée par le Site</w:t>
      </w:r>
      <w:bookmarkEnd w:id="278"/>
      <w:bookmarkEnd w:id="279"/>
    </w:p>
    <w:p w14:paraId="00255070" w14:textId="77777777" w:rsidR="00F97290" w:rsidRPr="00FA158B" w:rsidRDefault="00F97290" w:rsidP="000C0CCD">
      <w:pPr>
        <w:pStyle w:val="Titre4"/>
      </w:pPr>
      <w:r w:rsidRPr="00FA158B">
        <w:t>Principes généraux</w:t>
      </w:r>
    </w:p>
    <w:p w14:paraId="328B79CF" w14:textId="056F92D4" w:rsidR="00F97290" w:rsidRPr="00FA158B" w:rsidRDefault="00F97290" w:rsidP="009C3752">
      <w:r w:rsidRPr="00FA158B">
        <w:t xml:space="preserve">Les engagements du Client sont définis par des limites fondées sur une puissance de court-circuit de référence minimale de 40 MVA. Toutes les valeurs limites données ci-après supposent </w:t>
      </w:r>
      <w:r w:rsidR="0076712A">
        <w:t>que le GRD</w:t>
      </w:r>
      <w:r w:rsidRPr="00FA158B">
        <w:t xml:space="preserve"> fournit au moins la puissance de court-circuit de référence. </w:t>
      </w:r>
    </w:p>
    <w:p w14:paraId="2BCCB89E" w14:textId="24608F62" w:rsidR="00F97290" w:rsidRPr="00FA158B" w:rsidRDefault="00F97290" w:rsidP="009C3752">
      <w:r w:rsidRPr="00FA158B">
        <w:t xml:space="preserve">Si </w:t>
      </w:r>
      <w:r w:rsidR="0076712A">
        <w:t>le GRD</w:t>
      </w:r>
      <w:r w:rsidRPr="00FA158B">
        <w:t xml:space="preserve"> fournit une puissance de court-circuit inférieure, les perturbations de tension effectivement produites par le Client ne pourront pas dépasser les valeurs limites indiquées ci-après, multipliées par le rapport entre la puissance de court-circuit de référence et la puissance de court-circuit effectivement fournie.</w:t>
      </w:r>
    </w:p>
    <w:p w14:paraId="67D35306" w14:textId="77777777" w:rsidR="00F97290" w:rsidRPr="00FA158B" w:rsidRDefault="00F97290" w:rsidP="009C3752">
      <w:r w:rsidRPr="00FA158B">
        <w:t>Dans le cas d’un premier raccordement ou d’une modification des caractéristiques électriques justifiant une nouvelle convention de raccordement, le Client est tenu de prendre les mesures nécessaires pour que les perturbations engendrées par ses installations n’excèdent pas, au Point de Livraison, les seuils fixés par l’arrêté du 17 mars 2003</w:t>
      </w:r>
      <w:r w:rsidRPr="00FA158B">
        <w:rPr>
          <w:rFonts w:ascii="Calibri" w:hAnsi="Calibri"/>
          <w:sz w:val="18"/>
          <w:szCs w:val="18"/>
        </w:rPr>
        <w:t xml:space="preserve"> </w:t>
      </w:r>
      <w:r w:rsidRPr="00FA158B">
        <w:t xml:space="preserve">relatif aux prescriptions </w:t>
      </w:r>
      <w:r w:rsidRPr="00FA158B">
        <w:lastRenderedPageBreak/>
        <w:t>techniques de conception et de fonctionnement pour le raccordement au réseau public de distribution d'une installation de consommation d'énergie électrique.</w:t>
      </w:r>
    </w:p>
    <w:p w14:paraId="3124EDEA" w14:textId="7A703D07" w:rsidR="00F97290" w:rsidRPr="00FA158B" w:rsidRDefault="00F97290" w:rsidP="009C3752">
      <w:r w:rsidRPr="00FA158B">
        <w:t xml:space="preserve">Conformément à l'arrêté susvisé, le Client s'engage à informer, via son Fournisseur, </w:t>
      </w:r>
      <w:r w:rsidR="0076712A">
        <w:t>le GRD</w:t>
      </w:r>
      <w:r w:rsidRPr="00FA158B">
        <w:t xml:space="preserve"> des modifications de ses installations susceptibles d'entraîner un dépassement des limites de perturbations au Point de Livraison. Si, à l'issue de l'étude technique menée alors par </w:t>
      </w:r>
      <w:r w:rsidR="0076712A">
        <w:t>le GRD</w:t>
      </w:r>
      <w:r w:rsidRPr="00FA158B">
        <w:t xml:space="preserve">, il s'avère que les valeurs de perturbations au Point de Livraison dépassent les limites réglementaires, le Client est tenu soit d'installer des équipements complémentaires permettant de limiter lesdites perturbations, soit de demander </w:t>
      </w:r>
      <w:r w:rsidR="0076712A">
        <w:t>au GRD</w:t>
      </w:r>
      <w:r w:rsidRPr="00FA158B">
        <w:t xml:space="preserve">, directement ou via son Fournisseur, de lui faire une nouvelle offre de raccordement permettant de raccorder le Site en limitant les perturbations aux autres utilisateurs du réseau. </w:t>
      </w:r>
    </w:p>
    <w:p w14:paraId="70C7F096" w14:textId="3EE23F90" w:rsidR="00F97290" w:rsidRPr="00FA158B" w:rsidRDefault="00F97290" w:rsidP="009C3752">
      <w:r w:rsidRPr="00FA158B">
        <w:t xml:space="preserve">Si aucune des deux solutions n'est finalement mise en œuvre, </w:t>
      </w:r>
      <w:r w:rsidR="0076712A">
        <w:t>le GRD</w:t>
      </w:r>
      <w:r w:rsidRPr="00FA158B">
        <w:t xml:space="preserve"> peut procéder aux travaux visés à l'article </w:t>
      </w:r>
      <w:r w:rsidR="00983D6B" w:rsidRPr="00FA158B">
        <w:fldChar w:fldCharType="begin"/>
      </w:r>
      <w:r w:rsidR="00983D6B" w:rsidRPr="00FA158B">
        <w:instrText xml:space="preserve"> REF _Ref114041050 \r \h  \* MERGEFORMAT </w:instrText>
      </w:r>
      <w:r w:rsidR="00983D6B" w:rsidRPr="00FA158B">
        <w:fldChar w:fldCharType="separate"/>
      </w:r>
      <w:r w:rsidR="005E7E99">
        <w:t>2.2.3</w:t>
      </w:r>
      <w:r w:rsidR="00983D6B" w:rsidRPr="00FA158B">
        <w:fldChar w:fldCharType="end"/>
      </w:r>
      <w:r w:rsidRPr="00FA158B">
        <w:t xml:space="preserve"> des présentes dispositions générales.</w:t>
      </w:r>
    </w:p>
    <w:p w14:paraId="4165AEBE" w14:textId="77777777" w:rsidR="00F97290" w:rsidRPr="00FA158B" w:rsidRDefault="00F97290" w:rsidP="000C0CCD">
      <w:pPr>
        <w:pStyle w:val="Titre4"/>
      </w:pPr>
      <w:r w:rsidRPr="00FA158B">
        <w:t>Les Variations Rapides de Tension</w:t>
      </w:r>
    </w:p>
    <w:p w14:paraId="74ED796D" w14:textId="77777777" w:rsidR="00F97290" w:rsidRPr="00FA158B" w:rsidRDefault="00F97290" w:rsidP="000C0CCD">
      <w:pPr>
        <w:pStyle w:val="Titre5"/>
      </w:pPr>
      <w:r w:rsidRPr="00FA158B">
        <w:t>Les "à-coups de tension "</w:t>
      </w:r>
    </w:p>
    <w:p w14:paraId="55583299" w14:textId="08AD4145" w:rsidR="00F97290" w:rsidRPr="00FA158B" w:rsidRDefault="00F97290" w:rsidP="003864D6">
      <w:pPr>
        <w:rPr>
          <w:rFonts w:ascii="Calibri" w:hAnsi="Calibri"/>
          <w:sz w:val="18"/>
        </w:rPr>
      </w:pPr>
      <w:r w:rsidRPr="00FA158B">
        <w:t>La fréquence et l’amplitude des "à-coups de tension" engendrés par le Site au Point de Livraison doivent être inférieures ou égales aux valeurs délimitées par la courbe amplitude-fréquence basée sur la norme internationale CEI 61000-2-2</w:t>
      </w:r>
      <w:r w:rsidRPr="00FA158B">
        <w:footnoteReference w:id="3"/>
      </w:r>
      <w:r w:rsidRPr="00FA158B">
        <w:t xml:space="preserve"> (reproduite à l’article </w:t>
      </w:r>
      <w:r w:rsidR="00983D6B" w:rsidRPr="00FA158B">
        <w:fldChar w:fldCharType="begin"/>
      </w:r>
      <w:r w:rsidR="00983D6B" w:rsidRPr="00FA158B">
        <w:instrText xml:space="preserve"> REF _Ref11060089 \w \h  \* MERGEFORMAT </w:instrText>
      </w:r>
      <w:r w:rsidR="00983D6B" w:rsidRPr="00FA158B">
        <w:fldChar w:fldCharType="separate"/>
      </w:r>
      <w:r w:rsidR="005E7E99">
        <w:t>5.2.2.2.2</w:t>
      </w:r>
      <w:r w:rsidR="00983D6B" w:rsidRPr="00FA158B">
        <w:fldChar w:fldCharType="end"/>
      </w:r>
      <w:r w:rsidRPr="00FA158B">
        <w:t xml:space="preserve">). De plus, l’amplitude de tout "à-coup de tension" créé au Point de Livraison ne doit pas excéder 5% de la Tension de Fourniture </w:t>
      </w:r>
      <w:proofErr w:type="spellStart"/>
      <w:r w:rsidRPr="00FA158B">
        <w:t>Uf</w:t>
      </w:r>
      <w:proofErr w:type="spellEnd"/>
      <w:r w:rsidRPr="00FA158B">
        <w:t xml:space="preserve">. Les conditions d’atténuation des perturbations, provoquées au niveau du jeu de barres HTA du poste-source HTB/HTA par des "à-coups de tension" répétitifs, d’amplitude supérieure à 2% et de fréquence inférieure à trois par minute, sont examinées conjointement par le Client et </w:t>
      </w:r>
      <w:r w:rsidR="0076712A">
        <w:t>le GRD</w:t>
      </w:r>
      <w:r w:rsidRPr="00FA158B">
        <w:t>.</w:t>
      </w:r>
    </w:p>
    <w:p w14:paraId="3399F5EB" w14:textId="77777777" w:rsidR="00F97290" w:rsidRPr="00FA158B" w:rsidRDefault="00F97290" w:rsidP="000C0CCD">
      <w:pPr>
        <w:pStyle w:val="Titre5"/>
      </w:pPr>
      <w:bookmarkStart w:id="280" w:name="_Ref11060089"/>
      <w:r w:rsidRPr="00FA158B">
        <w:t>Le papillotement</w:t>
      </w:r>
      <w:bookmarkEnd w:id="280"/>
    </w:p>
    <w:p w14:paraId="347C0626" w14:textId="77777777" w:rsidR="00F97290" w:rsidRPr="00FA158B" w:rsidRDefault="00F97290" w:rsidP="009C3752">
      <w:r w:rsidRPr="00FA158B">
        <w:t>La fréquence et l’amplitude des fluctuations rapides de tension engendrées par le Site du Client au Point de Livraison doivent être inférieures ou égales aux valeurs délimitées par la courbe amplitude-fréquence basée sur la norme internationale CEI 61000-2-2 reproduite ci-après :</w:t>
      </w:r>
    </w:p>
    <w:p w14:paraId="1504A81D" w14:textId="77777777" w:rsidR="00F97290" w:rsidRPr="00FA158B" w:rsidRDefault="00F97290" w:rsidP="009C3752">
      <w:pPr>
        <w:pStyle w:val="Pieddepage"/>
      </w:pPr>
      <w:r w:rsidRPr="00FA158B">
        <w:object w:dxaOrig="8115" w:dyaOrig="4965" w14:anchorId="1BD1A7D9">
          <v:shape id="_x0000_i1026" type="#_x0000_t75" style="width:235.5pt;height:139.5pt" o:ole="" fillcolor="window">
            <v:imagedata r:id="rId25" o:title=""/>
          </v:shape>
          <o:OLEObject Type="Embed" ProgID="Word.Picture.8" ShapeID="_x0000_i1026" DrawAspect="Content" ObjectID="_1682145180" r:id="rId26"/>
        </w:object>
      </w:r>
    </w:p>
    <w:p w14:paraId="6EB21EDF" w14:textId="79ADB241" w:rsidR="00F97290" w:rsidRPr="00FA158B" w:rsidRDefault="00F97290" w:rsidP="00A114A2">
      <w:pPr>
        <w:spacing w:before="240"/>
      </w:pPr>
      <w:r w:rsidRPr="00FA158B">
        <w:t xml:space="preserve">Si le Site a été raccordé au RPD après l'entrée en vigueur de l'arrêté du 17 mars 2003, le niveau de contribution du Site au papillotement doit être limité à une valeur permettant </w:t>
      </w:r>
      <w:r w:rsidR="0076712A">
        <w:t>au GRD</w:t>
      </w:r>
      <w:r w:rsidRPr="00FA158B">
        <w:t xml:space="preserve"> de respecter la limite admissible de </w:t>
      </w:r>
      <w:proofErr w:type="spellStart"/>
      <w:r w:rsidRPr="00FA158B">
        <w:t>Plt</w:t>
      </w:r>
      <w:proofErr w:type="spellEnd"/>
      <w:r w:rsidRPr="00FA158B">
        <w:t xml:space="preserve"> inférieur ou égal à 1. Les niveaux d’émission de base sont de 0,35 en Pst et 0,25 en </w:t>
      </w:r>
      <w:proofErr w:type="spellStart"/>
      <w:r w:rsidRPr="00FA158B">
        <w:t>Plt</w:t>
      </w:r>
      <w:proofErr w:type="spellEnd"/>
      <w:r w:rsidRPr="00FA158B">
        <w:t>.</w:t>
      </w:r>
    </w:p>
    <w:p w14:paraId="42575602" w14:textId="77777777" w:rsidR="00F97290" w:rsidRPr="00FA158B" w:rsidRDefault="00F97290" w:rsidP="000C0CCD">
      <w:pPr>
        <w:pStyle w:val="Titre4"/>
      </w:pPr>
      <w:r w:rsidRPr="00FA158B">
        <w:t>Les déséquilibres de la tension</w:t>
      </w:r>
    </w:p>
    <w:p w14:paraId="2B8B7474" w14:textId="77777777" w:rsidR="00F97290" w:rsidRPr="00FA158B" w:rsidRDefault="00F97290" w:rsidP="009C3752">
      <w:r w:rsidRPr="00FA158B">
        <w:t>Les installations du Site du Client ne doivent pas provoquer, au Point de Livraison, un taux de déséquilibre de tension supérieur à 1%.</w:t>
      </w:r>
    </w:p>
    <w:p w14:paraId="1FFF44EF" w14:textId="77777777" w:rsidR="00F97290" w:rsidRPr="00FA158B" w:rsidRDefault="00F97290" w:rsidP="000C0CCD">
      <w:pPr>
        <w:pStyle w:val="Titre4"/>
      </w:pPr>
      <w:r w:rsidRPr="00FA158B">
        <w:lastRenderedPageBreak/>
        <w:t>L’atténuation des signaux tarifaires</w:t>
      </w:r>
    </w:p>
    <w:p w14:paraId="1F04408B" w14:textId="179C5EAD" w:rsidR="00F97290" w:rsidRPr="00FA158B" w:rsidRDefault="00F97290" w:rsidP="009C3752">
      <w:r w:rsidRPr="00FA158B">
        <w:t xml:space="preserve">Le fonctionnement de certains matériels (principalement les moteurs de plus de 1 MW) atténue les signaux tarifaires </w:t>
      </w:r>
      <w:r w:rsidR="0076712A">
        <w:t>que le GRD</w:t>
      </w:r>
      <w:r w:rsidRPr="00FA158B">
        <w:t xml:space="preserve"> émet sur ses réseaux HTA.</w:t>
      </w:r>
    </w:p>
    <w:p w14:paraId="012CE56C" w14:textId="77777777" w:rsidR="00F97290" w:rsidRPr="00FA158B" w:rsidRDefault="00F97290" w:rsidP="009C3752">
      <w:r w:rsidRPr="00FA158B">
        <w:t>Le raccordement de l'installation sur le Réseau Public de Distribution ne doit pas empêcher le bon fonctionnement de la transmission des signaux tarifaires. Dans le cas contraire, l'Utilisateur doit mettre en œuvre, dans son installation, les dispositions techniques nécessaires pour préserver le bon fonctionnement du dispositif de transmission de ces signaux.</w:t>
      </w:r>
    </w:p>
    <w:p w14:paraId="326A1A4E" w14:textId="77777777" w:rsidR="00F97290" w:rsidRPr="00FA158B" w:rsidRDefault="00F97290" w:rsidP="000C0CCD">
      <w:pPr>
        <w:pStyle w:val="Titre4"/>
      </w:pPr>
      <w:r w:rsidRPr="00FA158B">
        <w:t>Les courants harmoniques</w:t>
      </w:r>
    </w:p>
    <w:p w14:paraId="2B7FF369" w14:textId="56379C91" w:rsidR="00F97290" w:rsidRPr="00FA158B" w:rsidRDefault="005D0DFA" w:rsidP="009C3752">
      <w:r>
        <w:t>L</w:t>
      </w:r>
      <w:r w:rsidR="0076712A">
        <w:t>e GRD</w:t>
      </w:r>
      <w:r w:rsidR="00F97290" w:rsidRPr="00FA158B">
        <w:t xml:space="preserve"> indique au Client, les niveaux de chacun des courants harmoniques injectés sur le Réseau Public de Distribution qui permettent de limiter les perturbations sur le Réseau Public de Distribution. Si le Site a été raccordé au RPD après l'entrée en vigueur de l'arrêté du 17 mars 2003, les limites ci-dessus sont d'application obligatoire. Dans le cas contraire, ces limites ne sont fournies qu'à titre indicatif.</w:t>
      </w:r>
    </w:p>
    <w:p w14:paraId="66A9D6A6" w14:textId="77777777" w:rsidR="00F97290" w:rsidRPr="00FA158B" w:rsidRDefault="00F97290" w:rsidP="009C3752">
      <w:r w:rsidRPr="00FA158B">
        <w:t>Les limites sont déterminées au prorata de la Puissance Souscrite au titre de l’utilisation du Réseau Public de Distribution (</w:t>
      </w:r>
      <w:proofErr w:type="spellStart"/>
      <w:r w:rsidRPr="00FA158B">
        <w:t>P</w:t>
      </w:r>
      <w:r w:rsidRPr="00FA158B">
        <w:rPr>
          <w:vertAlign w:val="subscript"/>
        </w:rPr>
        <w:t>souscrite</w:t>
      </w:r>
      <w:proofErr w:type="spellEnd"/>
      <w:r w:rsidRPr="00FA158B">
        <w:t xml:space="preserve">). </w:t>
      </w:r>
    </w:p>
    <w:p w14:paraId="1C9C9C26" w14:textId="77777777" w:rsidR="00F97290" w:rsidRPr="00FA158B" w:rsidRDefault="00F97290" w:rsidP="009C3752">
      <w:r w:rsidRPr="00FA158B">
        <w:t xml:space="preserve">A chaque harmonique de rang n </w:t>
      </w:r>
      <w:proofErr w:type="gramStart"/>
      <w:r w:rsidRPr="00FA158B">
        <w:t>est</w:t>
      </w:r>
      <w:proofErr w:type="gramEnd"/>
      <w:r w:rsidRPr="00FA158B">
        <w:t xml:space="preserve"> associé un coefficient de limitation </w:t>
      </w:r>
      <w:proofErr w:type="spellStart"/>
      <w:r w:rsidRPr="00FA158B">
        <w:t>kn</w:t>
      </w:r>
      <w:proofErr w:type="spellEnd"/>
      <w:r w:rsidRPr="00FA158B">
        <w:t xml:space="preserve"> qui permet de calculer le niveau de courant harmonique injecté : </w:t>
      </w:r>
    </w:p>
    <w:p w14:paraId="3F1F26EF" w14:textId="77777777" w:rsidR="00F97290" w:rsidRPr="00FA158B" w:rsidRDefault="00F97290" w:rsidP="003864D6">
      <w:pPr>
        <w:pStyle w:val="Normal1"/>
        <w:jc w:val="center"/>
      </w:pPr>
      <w:r w:rsidRPr="00FA158B">
        <w:rPr>
          <w:rFonts w:asciiTheme="majorHAnsi" w:hAnsiTheme="majorHAnsi" w:cstheme="majorHAnsi"/>
        </w:rPr>
        <w:object w:dxaOrig="1520" w:dyaOrig="700" w14:anchorId="5520F883">
          <v:shape id="_x0000_i1027" type="#_x0000_t75" style="width:92pt;height:45pt" o:ole="" fillcolor="window">
            <v:imagedata r:id="rId27" o:title=""/>
          </v:shape>
          <o:OLEObject Type="Embed" ProgID="Equation.2" ShapeID="_x0000_i1027" DrawAspect="Content" ObjectID="_1682145181" r:id="rId28"/>
        </w:object>
      </w:r>
    </w:p>
    <w:p w14:paraId="29258374" w14:textId="77777777" w:rsidR="00F97290" w:rsidRPr="00FA158B" w:rsidRDefault="00F97290" w:rsidP="009C3752">
      <w:proofErr w:type="gramStart"/>
      <w:r w:rsidRPr="00FA158B">
        <w:t>où</w:t>
      </w:r>
      <w:proofErr w:type="gramEnd"/>
      <w:r w:rsidRPr="00FA158B">
        <w:t xml:space="preserve"> </w:t>
      </w:r>
      <w:proofErr w:type="spellStart"/>
      <w:r w:rsidRPr="00FA158B">
        <w:t>U</w:t>
      </w:r>
      <w:r w:rsidRPr="00FA158B">
        <w:rPr>
          <w:vertAlign w:val="subscript"/>
        </w:rPr>
        <w:t>c</w:t>
      </w:r>
      <w:proofErr w:type="spellEnd"/>
      <w:r w:rsidRPr="00FA158B">
        <w:t xml:space="preserve"> est la valeur de la Tension Contractuelle. </w:t>
      </w:r>
    </w:p>
    <w:p w14:paraId="1F30D0CF" w14:textId="77777777" w:rsidR="003864D6" w:rsidRPr="00FA158B" w:rsidRDefault="003864D6" w:rsidP="00F84F73">
      <w:pPr>
        <w:spacing w:before="0" w:after="0"/>
      </w:pPr>
    </w:p>
    <w:p w14:paraId="2EC75C9B" w14:textId="77777777" w:rsidR="00F97290" w:rsidRDefault="00F97290" w:rsidP="009C3752">
      <w:r w:rsidRPr="00FA158B">
        <w:t xml:space="preserve">Le tableau ci-dessous donne la valeur de </w:t>
      </w:r>
      <w:proofErr w:type="spellStart"/>
      <w:r w:rsidRPr="00FA158B">
        <w:t>k</w:t>
      </w:r>
      <w:r w:rsidRPr="00FA158B">
        <w:rPr>
          <w:vertAlign w:val="subscript"/>
        </w:rPr>
        <w:t>n</w:t>
      </w:r>
      <w:proofErr w:type="spellEnd"/>
      <w:r w:rsidRPr="00FA158B">
        <w:t xml:space="preserve"> en fonction du rang n de </w:t>
      </w:r>
      <w:proofErr w:type="gramStart"/>
      <w:r w:rsidRPr="00FA158B">
        <w:t>l’harmonique:</w:t>
      </w:r>
      <w:proofErr w:type="gramEnd"/>
    </w:p>
    <w:p w14:paraId="145F0E54" w14:textId="77777777" w:rsidR="00C94E67" w:rsidRPr="00FA158B" w:rsidRDefault="00C94E67" w:rsidP="009C3752"/>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59"/>
        <w:gridCol w:w="950"/>
        <w:gridCol w:w="1947"/>
        <w:gridCol w:w="1486"/>
      </w:tblGrid>
      <w:tr w:rsidR="00F97290" w:rsidRPr="00FA158B" w14:paraId="1210CE48" w14:textId="77777777" w:rsidTr="00F97290">
        <w:trPr>
          <w:jc w:val="center"/>
        </w:trPr>
        <w:tc>
          <w:tcPr>
            <w:tcW w:w="1559" w:type="dxa"/>
          </w:tcPr>
          <w:p w14:paraId="3138841F" w14:textId="77777777" w:rsidR="00F97290" w:rsidRPr="00FA158B" w:rsidRDefault="00F97290" w:rsidP="003864D6">
            <w:pPr>
              <w:spacing w:before="0" w:after="0"/>
              <w:jc w:val="center"/>
              <w:rPr>
                <w:rFonts w:ascii="Arial" w:hAnsi="Arial"/>
                <w:lang w:val="en-GB"/>
              </w:rPr>
            </w:pPr>
            <w:proofErr w:type="spellStart"/>
            <w:r w:rsidRPr="00FA158B">
              <w:rPr>
                <w:lang w:val="en-GB"/>
              </w:rPr>
              <w:t>Rangs</w:t>
            </w:r>
            <w:proofErr w:type="spellEnd"/>
            <w:r w:rsidRPr="00FA158B">
              <w:rPr>
                <w:lang w:val="en-GB"/>
              </w:rPr>
              <w:t xml:space="preserve"> impairs</w:t>
            </w:r>
          </w:p>
        </w:tc>
        <w:tc>
          <w:tcPr>
            <w:tcW w:w="950" w:type="dxa"/>
          </w:tcPr>
          <w:p w14:paraId="60315C9F" w14:textId="77777777" w:rsidR="00F97290" w:rsidRPr="00FA158B" w:rsidRDefault="00F97290" w:rsidP="003864D6">
            <w:pPr>
              <w:spacing w:before="0" w:after="0"/>
              <w:jc w:val="center"/>
              <w:rPr>
                <w:rFonts w:ascii="Arial" w:hAnsi="Arial"/>
                <w:lang w:val="en-GB"/>
              </w:rPr>
            </w:pPr>
            <w:proofErr w:type="spellStart"/>
            <w:r w:rsidRPr="00FA158B">
              <w:rPr>
                <w:lang w:val="en-GB"/>
              </w:rPr>
              <w:t>k</w:t>
            </w:r>
            <w:r w:rsidRPr="00FA158B">
              <w:rPr>
                <w:vertAlign w:val="subscript"/>
                <w:lang w:val="en-GB"/>
              </w:rPr>
              <w:t>n</w:t>
            </w:r>
            <w:proofErr w:type="spellEnd"/>
            <w:r w:rsidRPr="00FA158B">
              <w:rPr>
                <w:lang w:val="en-GB"/>
              </w:rPr>
              <w:t xml:space="preserve"> (%)</w:t>
            </w:r>
          </w:p>
        </w:tc>
        <w:tc>
          <w:tcPr>
            <w:tcW w:w="1947" w:type="dxa"/>
          </w:tcPr>
          <w:p w14:paraId="60BB24EA" w14:textId="77777777" w:rsidR="00F97290" w:rsidRPr="00FA158B" w:rsidRDefault="00F97290" w:rsidP="003864D6">
            <w:pPr>
              <w:spacing w:before="0" w:after="0"/>
              <w:jc w:val="center"/>
              <w:rPr>
                <w:rFonts w:ascii="Arial" w:hAnsi="Arial"/>
                <w:lang w:val="en-GB"/>
              </w:rPr>
            </w:pPr>
            <w:proofErr w:type="spellStart"/>
            <w:r w:rsidRPr="00FA158B">
              <w:rPr>
                <w:lang w:val="en-GB"/>
              </w:rPr>
              <w:t>Rangs</w:t>
            </w:r>
            <w:proofErr w:type="spellEnd"/>
            <w:r w:rsidRPr="00FA158B">
              <w:rPr>
                <w:lang w:val="en-GB"/>
              </w:rPr>
              <w:t xml:space="preserve"> pairs</w:t>
            </w:r>
          </w:p>
        </w:tc>
        <w:tc>
          <w:tcPr>
            <w:tcW w:w="1486" w:type="dxa"/>
          </w:tcPr>
          <w:p w14:paraId="06840718" w14:textId="77777777" w:rsidR="00F97290" w:rsidRPr="00FA158B" w:rsidRDefault="00F97290" w:rsidP="003864D6">
            <w:pPr>
              <w:spacing w:before="0" w:after="0"/>
              <w:jc w:val="center"/>
              <w:rPr>
                <w:rFonts w:ascii="Arial" w:hAnsi="Arial"/>
                <w:lang w:val="en-GB"/>
              </w:rPr>
            </w:pPr>
            <w:proofErr w:type="spellStart"/>
            <w:r w:rsidRPr="00FA158B">
              <w:rPr>
                <w:lang w:val="en-GB"/>
              </w:rPr>
              <w:t>k</w:t>
            </w:r>
            <w:r w:rsidRPr="00FA158B">
              <w:rPr>
                <w:vertAlign w:val="subscript"/>
                <w:lang w:val="en-GB"/>
              </w:rPr>
              <w:t>n</w:t>
            </w:r>
            <w:proofErr w:type="spellEnd"/>
            <w:r w:rsidRPr="00FA158B">
              <w:rPr>
                <w:lang w:val="en-GB"/>
              </w:rPr>
              <w:t xml:space="preserve"> (%)</w:t>
            </w:r>
          </w:p>
        </w:tc>
      </w:tr>
      <w:tr w:rsidR="00F97290" w:rsidRPr="00FA158B" w14:paraId="436ECC6D" w14:textId="77777777" w:rsidTr="003864D6">
        <w:trPr>
          <w:jc w:val="center"/>
        </w:trPr>
        <w:tc>
          <w:tcPr>
            <w:tcW w:w="1559" w:type="dxa"/>
            <w:tcBorders>
              <w:top w:val="nil"/>
            </w:tcBorders>
            <w:vAlign w:val="center"/>
          </w:tcPr>
          <w:p w14:paraId="29C65A3A" w14:textId="77777777" w:rsidR="00F97290" w:rsidRPr="00FA158B" w:rsidRDefault="00F97290" w:rsidP="003864D6">
            <w:pPr>
              <w:spacing w:before="0" w:after="0"/>
              <w:jc w:val="center"/>
              <w:rPr>
                <w:rFonts w:ascii="Arial" w:hAnsi="Arial"/>
              </w:rPr>
            </w:pPr>
            <w:r w:rsidRPr="00FA158B">
              <w:t>3</w:t>
            </w:r>
          </w:p>
        </w:tc>
        <w:tc>
          <w:tcPr>
            <w:tcW w:w="950" w:type="dxa"/>
            <w:tcBorders>
              <w:top w:val="nil"/>
            </w:tcBorders>
            <w:vAlign w:val="center"/>
          </w:tcPr>
          <w:p w14:paraId="39803425" w14:textId="77777777" w:rsidR="00F97290" w:rsidRPr="00FA158B" w:rsidRDefault="00F97290" w:rsidP="003864D6">
            <w:pPr>
              <w:spacing w:before="0" w:after="0"/>
              <w:jc w:val="center"/>
              <w:rPr>
                <w:rFonts w:ascii="Arial" w:hAnsi="Arial"/>
              </w:rPr>
            </w:pPr>
            <w:r w:rsidRPr="00FA158B">
              <w:t>4</w:t>
            </w:r>
          </w:p>
        </w:tc>
        <w:tc>
          <w:tcPr>
            <w:tcW w:w="1947" w:type="dxa"/>
            <w:tcBorders>
              <w:top w:val="nil"/>
            </w:tcBorders>
            <w:vAlign w:val="center"/>
          </w:tcPr>
          <w:p w14:paraId="065D3774" w14:textId="77777777" w:rsidR="00F97290" w:rsidRPr="00FA158B" w:rsidRDefault="00F97290" w:rsidP="003864D6">
            <w:pPr>
              <w:spacing w:before="0" w:after="0"/>
              <w:jc w:val="center"/>
              <w:rPr>
                <w:rFonts w:ascii="Arial" w:hAnsi="Arial"/>
              </w:rPr>
            </w:pPr>
            <w:r w:rsidRPr="00FA158B">
              <w:t>2</w:t>
            </w:r>
          </w:p>
        </w:tc>
        <w:tc>
          <w:tcPr>
            <w:tcW w:w="1486" w:type="dxa"/>
            <w:tcBorders>
              <w:top w:val="nil"/>
            </w:tcBorders>
            <w:vAlign w:val="center"/>
          </w:tcPr>
          <w:p w14:paraId="4124FF9C" w14:textId="77777777" w:rsidR="00F97290" w:rsidRPr="00FA158B" w:rsidRDefault="00F97290" w:rsidP="003864D6">
            <w:pPr>
              <w:spacing w:before="0" w:after="0"/>
              <w:jc w:val="center"/>
              <w:rPr>
                <w:rFonts w:ascii="Arial" w:hAnsi="Arial"/>
              </w:rPr>
            </w:pPr>
            <w:r w:rsidRPr="00FA158B">
              <w:t>2</w:t>
            </w:r>
          </w:p>
        </w:tc>
      </w:tr>
      <w:tr w:rsidR="00F97290" w:rsidRPr="00FA158B" w14:paraId="0CA1A49E" w14:textId="77777777" w:rsidTr="003864D6">
        <w:trPr>
          <w:jc w:val="center"/>
        </w:trPr>
        <w:tc>
          <w:tcPr>
            <w:tcW w:w="1559" w:type="dxa"/>
            <w:vAlign w:val="center"/>
          </w:tcPr>
          <w:p w14:paraId="0CA559C0" w14:textId="77777777" w:rsidR="00F97290" w:rsidRPr="00FA158B" w:rsidRDefault="00F97290" w:rsidP="003864D6">
            <w:pPr>
              <w:spacing w:before="0" w:after="0"/>
              <w:jc w:val="center"/>
              <w:rPr>
                <w:rFonts w:ascii="Arial" w:hAnsi="Arial"/>
              </w:rPr>
            </w:pPr>
            <w:r w:rsidRPr="00FA158B">
              <w:t>5 et 7</w:t>
            </w:r>
          </w:p>
        </w:tc>
        <w:tc>
          <w:tcPr>
            <w:tcW w:w="950" w:type="dxa"/>
            <w:vAlign w:val="center"/>
          </w:tcPr>
          <w:p w14:paraId="3E70E0A9" w14:textId="77777777" w:rsidR="00F97290" w:rsidRPr="00FA158B" w:rsidRDefault="00F97290" w:rsidP="003864D6">
            <w:pPr>
              <w:spacing w:before="0" w:after="0"/>
              <w:jc w:val="center"/>
              <w:rPr>
                <w:rFonts w:ascii="Arial" w:hAnsi="Arial"/>
              </w:rPr>
            </w:pPr>
            <w:r w:rsidRPr="00FA158B">
              <w:t>5</w:t>
            </w:r>
          </w:p>
        </w:tc>
        <w:tc>
          <w:tcPr>
            <w:tcW w:w="1947" w:type="dxa"/>
            <w:tcBorders>
              <w:bottom w:val="nil"/>
            </w:tcBorders>
            <w:vAlign w:val="center"/>
          </w:tcPr>
          <w:p w14:paraId="0B6778EE" w14:textId="77777777" w:rsidR="00F97290" w:rsidRPr="00FA158B" w:rsidRDefault="00F97290" w:rsidP="003864D6">
            <w:pPr>
              <w:spacing w:before="0" w:after="0"/>
              <w:jc w:val="center"/>
              <w:rPr>
                <w:rFonts w:ascii="Arial" w:hAnsi="Arial"/>
              </w:rPr>
            </w:pPr>
            <w:r w:rsidRPr="00FA158B">
              <w:t>4</w:t>
            </w:r>
          </w:p>
        </w:tc>
        <w:tc>
          <w:tcPr>
            <w:tcW w:w="1486" w:type="dxa"/>
            <w:tcBorders>
              <w:bottom w:val="nil"/>
            </w:tcBorders>
            <w:vAlign w:val="center"/>
          </w:tcPr>
          <w:p w14:paraId="1B970B85" w14:textId="77777777" w:rsidR="00F97290" w:rsidRPr="00FA158B" w:rsidRDefault="00F97290" w:rsidP="003864D6">
            <w:pPr>
              <w:spacing w:before="0" w:after="0"/>
              <w:jc w:val="center"/>
              <w:rPr>
                <w:rFonts w:ascii="Arial" w:hAnsi="Arial"/>
              </w:rPr>
            </w:pPr>
            <w:r w:rsidRPr="00FA158B">
              <w:t>1</w:t>
            </w:r>
          </w:p>
        </w:tc>
      </w:tr>
      <w:tr w:rsidR="00F97290" w:rsidRPr="00FA158B" w14:paraId="026F190B" w14:textId="77777777" w:rsidTr="003864D6">
        <w:trPr>
          <w:jc w:val="center"/>
        </w:trPr>
        <w:tc>
          <w:tcPr>
            <w:tcW w:w="1559" w:type="dxa"/>
            <w:vAlign w:val="center"/>
          </w:tcPr>
          <w:p w14:paraId="3034F6D3" w14:textId="77777777" w:rsidR="00F97290" w:rsidRPr="00FA158B" w:rsidRDefault="00F97290" w:rsidP="003864D6">
            <w:pPr>
              <w:spacing w:before="0" w:after="0"/>
              <w:jc w:val="center"/>
              <w:rPr>
                <w:rFonts w:ascii="Arial" w:hAnsi="Arial"/>
              </w:rPr>
            </w:pPr>
            <w:r w:rsidRPr="00FA158B">
              <w:t>9</w:t>
            </w:r>
          </w:p>
        </w:tc>
        <w:tc>
          <w:tcPr>
            <w:tcW w:w="950" w:type="dxa"/>
            <w:tcBorders>
              <w:bottom w:val="nil"/>
            </w:tcBorders>
            <w:vAlign w:val="center"/>
          </w:tcPr>
          <w:p w14:paraId="7AEDC3AE" w14:textId="77777777" w:rsidR="00F97290" w:rsidRPr="00FA158B" w:rsidRDefault="00F97290" w:rsidP="003864D6">
            <w:pPr>
              <w:spacing w:before="0" w:after="0"/>
              <w:jc w:val="center"/>
              <w:rPr>
                <w:rFonts w:ascii="Arial" w:hAnsi="Arial"/>
              </w:rPr>
            </w:pPr>
            <w:r w:rsidRPr="00FA158B">
              <w:t>2</w:t>
            </w:r>
          </w:p>
        </w:tc>
        <w:tc>
          <w:tcPr>
            <w:tcW w:w="1947" w:type="dxa"/>
            <w:tcBorders>
              <w:top w:val="single" w:sz="6" w:space="0" w:color="auto"/>
              <w:bottom w:val="single" w:sz="12" w:space="0" w:color="auto"/>
            </w:tcBorders>
            <w:vAlign w:val="center"/>
          </w:tcPr>
          <w:p w14:paraId="0E78F1E9" w14:textId="77777777" w:rsidR="00F97290" w:rsidRPr="00FA158B" w:rsidRDefault="00F97290" w:rsidP="003864D6">
            <w:pPr>
              <w:spacing w:before="0" w:after="0"/>
              <w:jc w:val="center"/>
              <w:rPr>
                <w:rFonts w:ascii="Arial" w:hAnsi="Arial"/>
              </w:rPr>
            </w:pPr>
            <w:r w:rsidRPr="00FA158B">
              <w:t>&gt;4</w:t>
            </w:r>
          </w:p>
        </w:tc>
        <w:tc>
          <w:tcPr>
            <w:tcW w:w="1486" w:type="dxa"/>
            <w:tcBorders>
              <w:top w:val="single" w:sz="6" w:space="0" w:color="auto"/>
              <w:bottom w:val="single" w:sz="12" w:space="0" w:color="auto"/>
            </w:tcBorders>
            <w:vAlign w:val="center"/>
          </w:tcPr>
          <w:p w14:paraId="50E52952" w14:textId="77777777" w:rsidR="00F97290" w:rsidRPr="00FA158B" w:rsidRDefault="00F97290" w:rsidP="003864D6">
            <w:pPr>
              <w:spacing w:before="0" w:after="0"/>
              <w:jc w:val="center"/>
              <w:rPr>
                <w:rFonts w:ascii="Arial" w:hAnsi="Arial"/>
              </w:rPr>
            </w:pPr>
            <w:r w:rsidRPr="00FA158B">
              <w:t>0.5</w:t>
            </w:r>
          </w:p>
        </w:tc>
      </w:tr>
      <w:tr w:rsidR="00F97290" w:rsidRPr="00FA158B" w14:paraId="031DD0E5" w14:textId="77777777" w:rsidTr="003864D6">
        <w:trPr>
          <w:trHeight w:val="307"/>
          <w:jc w:val="center"/>
        </w:trPr>
        <w:tc>
          <w:tcPr>
            <w:tcW w:w="1559" w:type="dxa"/>
            <w:vAlign w:val="center"/>
          </w:tcPr>
          <w:p w14:paraId="7B205DD6" w14:textId="77777777" w:rsidR="00F97290" w:rsidRPr="00FA158B" w:rsidRDefault="00F97290" w:rsidP="003864D6">
            <w:pPr>
              <w:spacing w:before="0" w:after="0"/>
              <w:jc w:val="center"/>
              <w:rPr>
                <w:rFonts w:ascii="Arial" w:hAnsi="Arial"/>
              </w:rPr>
            </w:pPr>
            <w:r w:rsidRPr="00FA158B">
              <w:t>11 et 13</w:t>
            </w:r>
          </w:p>
        </w:tc>
        <w:tc>
          <w:tcPr>
            <w:tcW w:w="950" w:type="dxa"/>
            <w:tcBorders>
              <w:top w:val="single" w:sz="6" w:space="0" w:color="auto"/>
              <w:bottom w:val="single" w:sz="6" w:space="0" w:color="auto"/>
              <w:right w:val="single" w:sz="12" w:space="0" w:color="auto"/>
            </w:tcBorders>
            <w:vAlign w:val="center"/>
          </w:tcPr>
          <w:p w14:paraId="23BCC658" w14:textId="77777777" w:rsidR="00F97290" w:rsidRPr="00FA158B" w:rsidRDefault="00F97290" w:rsidP="003864D6">
            <w:pPr>
              <w:spacing w:before="0" w:after="0"/>
              <w:jc w:val="center"/>
              <w:rPr>
                <w:rFonts w:ascii="Arial" w:hAnsi="Arial"/>
              </w:rPr>
            </w:pPr>
            <w:r w:rsidRPr="00FA158B">
              <w:t>3</w:t>
            </w:r>
          </w:p>
        </w:tc>
        <w:tc>
          <w:tcPr>
            <w:tcW w:w="1947" w:type="dxa"/>
            <w:tcBorders>
              <w:top w:val="nil"/>
              <w:left w:val="nil"/>
              <w:bottom w:val="nil"/>
              <w:right w:val="nil"/>
            </w:tcBorders>
          </w:tcPr>
          <w:p w14:paraId="1C11E23B" w14:textId="77777777" w:rsidR="00F97290" w:rsidRPr="00FA158B" w:rsidRDefault="00F97290" w:rsidP="009C3752">
            <w:pPr>
              <w:pStyle w:val="Normal1"/>
            </w:pPr>
          </w:p>
        </w:tc>
        <w:tc>
          <w:tcPr>
            <w:tcW w:w="1486" w:type="dxa"/>
            <w:tcBorders>
              <w:top w:val="nil"/>
              <w:left w:val="nil"/>
              <w:bottom w:val="nil"/>
              <w:right w:val="nil"/>
            </w:tcBorders>
          </w:tcPr>
          <w:p w14:paraId="7520B71D" w14:textId="77777777" w:rsidR="00F97290" w:rsidRPr="00FA158B" w:rsidRDefault="00F97290" w:rsidP="009C3752">
            <w:pPr>
              <w:pStyle w:val="Normal1"/>
            </w:pPr>
          </w:p>
        </w:tc>
      </w:tr>
      <w:tr w:rsidR="00F97290" w:rsidRPr="00FA158B" w14:paraId="14D1AC57" w14:textId="77777777" w:rsidTr="003864D6">
        <w:trPr>
          <w:jc w:val="center"/>
        </w:trPr>
        <w:tc>
          <w:tcPr>
            <w:tcW w:w="1559" w:type="dxa"/>
            <w:vAlign w:val="center"/>
          </w:tcPr>
          <w:p w14:paraId="29E39053" w14:textId="77777777" w:rsidR="00F97290" w:rsidRPr="00FA158B" w:rsidRDefault="00F97290" w:rsidP="003864D6">
            <w:pPr>
              <w:spacing w:before="0" w:after="0"/>
              <w:jc w:val="center"/>
              <w:rPr>
                <w:rFonts w:ascii="Arial" w:hAnsi="Arial"/>
              </w:rPr>
            </w:pPr>
            <w:r w:rsidRPr="00FA158B">
              <w:t>&gt;13</w:t>
            </w:r>
          </w:p>
        </w:tc>
        <w:tc>
          <w:tcPr>
            <w:tcW w:w="950" w:type="dxa"/>
            <w:tcBorders>
              <w:top w:val="single" w:sz="6" w:space="0" w:color="auto"/>
              <w:bottom w:val="single" w:sz="12" w:space="0" w:color="auto"/>
              <w:right w:val="single" w:sz="12" w:space="0" w:color="auto"/>
            </w:tcBorders>
            <w:vAlign w:val="center"/>
          </w:tcPr>
          <w:p w14:paraId="1A247D4C" w14:textId="77777777" w:rsidR="00F97290" w:rsidRPr="00FA158B" w:rsidRDefault="00F97290" w:rsidP="003864D6">
            <w:pPr>
              <w:spacing w:before="0" w:after="0"/>
              <w:jc w:val="center"/>
              <w:rPr>
                <w:rFonts w:ascii="Arial" w:hAnsi="Arial"/>
              </w:rPr>
            </w:pPr>
            <w:r w:rsidRPr="00FA158B">
              <w:t>2</w:t>
            </w:r>
          </w:p>
        </w:tc>
        <w:tc>
          <w:tcPr>
            <w:tcW w:w="1947" w:type="dxa"/>
            <w:tcBorders>
              <w:top w:val="nil"/>
              <w:left w:val="nil"/>
              <w:bottom w:val="nil"/>
              <w:right w:val="nil"/>
            </w:tcBorders>
          </w:tcPr>
          <w:p w14:paraId="04E79F7C" w14:textId="77777777" w:rsidR="00F97290" w:rsidRPr="00FA158B" w:rsidRDefault="00F97290" w:rsidP="009C3752">
            <w:pPr>
              <w:pStyle w:val="Normal1"/>
            </w:pPr>
          </w:p>
        </w:tc>
        <w:tc>
          <w:tcPr>
            <w:tcW w:w="1486" w:type="dxa"/>
            <w:tcBorders>
              <w:top w:val="nil"/>
              <w:left w:val="nil"/>
              <w:bottom w:val="nil"/>
              <w:right w:val="nil"/>
            </w:tcBorders>
          </w:tcPr>
          <w:p w14:paraId="44DE077A" w14:textId="77777777" w:rsidR="00F97290" w:rsidRPr="00FA158B" w:rsidRDefault="00F97290" w:rsidP="009C3752">
            <w:pPr>
              <w:pStyle w:val="Normal1"/>
            </w:pPr>
          </w:p>
        </w:tc>
      </w:tr>
    </w:tbl>
    <w:p w14:paraId="4ACD30FD" w14:textId="77777777" w:rsidR="00F97290" w:rsidRPr="00FA158B" w:rsidRDefault="00F97290" w:rsidP="009C3752">
      <w:r w:rsidRPr="00FA158B">
        <w:t>Les limites précédentes ne s’appliquent pas si la Puissance Souscrite au titre de l’utilisation du Réseau Public de Distribution est inférieure à 100 kVA.</w:t>
      </w:r>
    </w:p>
    <w:p w14:paraId="3CDD3A45" w14:textId="77777777" w:rsidR="00F97290" w:rsidRPr="00FA158B" w:rsidRDefault="00F97290" w:rsidP="000C0CCD">
      <w:pPr>
        <w:pStyle w:val="Titre3"/>
      </w:pPr>
      <w:bookmarkStart w:id="281" w:name="_Ref32292129"/>
      <w:bookmarkStart w:id="282" w:name="_Toc52012205"/>
      <w:bookmarkStart w:id="283" w:name="_Toc21422462"/>
      <w:r w:rsidRPr="00FA158B">
        <w:t>Dispositif particulier de limitation des perturbations sur le Réseau Public de Distribution</w:t>
      </w:r>
      <w:bookmarkEnd w:id="281"/>
      <w:bookmarkEnd w:id="282"/>
      <w:bookmarkEnd w:id="283"/>
    </w:p>
    <w:p w14:paraId="0E11332D" w14:textId="64E8DE73" w:rsidR="00F97290" w:rsidRPr="00FA158B" w:rsidRDefault="00F97290" w:rsidP="009C3752">
      <w:r w:rsidRPr="00FA158B">
        <w:t xml:space="preserve">Si le Client ne respecte pas ses obligations en matière de limitation des perturbations définies à l'article </w:t>
      </w:r>
      <w:r w:rsidR="00983D6B" w:rsidRPr="00FA158B">
        <w:fldChar w:fldCharType="begin"/>
      </w:r>
      <w:r w:rsidR="00983D6B" w:rsidRPr="00FA158B">
        <w:instrText xml:space="preserve"> REF _Ref143520105 \r \h  \* MERGEFORMAT </w:instrText>
      </w:r>
      <w:r w:rsidR="00983D6B" w:rsidRPr="00FA158B">
        <w:fldChar w:fldCharType="separate"/>
      </w:r>
      <w:r w:rsidR="005E7E99">
        <w:t>5.2.2</w:t>
      </w:r>
      <w:r w:rsidR="00983D6B" w:rsidRPr="00FA158B">
        <w:fldChar w:fldCharType="end"/>
      </w:r>
      <w:r w:rsidRPr="00FA158B">
        <w:t xml:space="preserve"> des présentes dispositions générales, </w:t>
      </w:r>
      <w:r w:rsidR="0076712A">
        <w:t>le GRD</w:t>
      </w:r>
      <w:r w:rsidRPr="00FA158B">
        <w:t xml:space="preserve"> peut prendre des mesures selon les modalités définies à l’article </w:t>
      </w:r>
      <w:r w:rsidR="00983D6B" w:rsidRPr="00FA158B">
        <w:fldChar w:fldCharType="begin"/>
      </w:r>
      <w:r w:rsidR="00983D6B" w:rsidRPr="00FA158B">
        <w:instrText xml:space="preserve"> REF _Ref143520264 \r \h  \* MERGEFORMAT </w:instrText>
      </w:r>
      <w:r w:rsidR="00983D6B" w:rsidRPr="00FA158B">
        <w:fldChar w:fldCharType="separate"/>
      </w:r>
      <w:r w:rsidR="005E7E99">
        <w:t>2.2.3</w:t>
      </w:r>
      <w:r w:rsidR="00983D6B" w:rsidRPr="00FA158B">
        <w:fldChar w:fldCharType="end"/>
      </w:r>
      <w:r w:rsidRPr="00FA158B">
        <w:t xml:space="preserve"> des présentes dispositions générales. </w:t>
      </w:r>
    </w:p>
    <w:p w14:paraId="44E4EB1D" w14:textId="77777777" w:rsidR="00F97290" w:rsidRPr="00FA158B" w:rsidRDefault="00F97290" w:rsidP="00DC643C">
      <w:pPr>
        <w:pStyle w:val="Titre1"/>
      </w:pPr>
      <w:bookmarkStart w:id="284" w:name="_Toc165044595"/>
      <w:bookmarkStart w:id="285" w:name="_Toc472522893"/>
      <w:bookmarkStart w:id="286" w:name="_Toc21422463"/>
      <w:bookmarkStart w:id="287" w:name="_Toc35252924"/>
      <w:bookmarkStart w:id="288" w:name="_Toc55891459"/>
      <w:bookmarkStart w:id="289" w:name="_Toc56913735"/>
      <w:bookmarkStart w:id="290" w:name="_Ref58036660"/>
      <w:bookmarkStart w:id="291" w:name="_Toc58237402"/>
      <w:bookmarkEnd w:id="284"/>
      <w:r w:rsidRPr="00FA158B">
        <w:t>Responsable d’Equilibre</w:t>
      </w:r>
      <w:bookmarkEnd w:id="285"/>
      <w:bookmarkEnd w:id="286"/>
    </w:p>
    <w:p w14:paraId="1D1C7FFE" w14:textId="77777777" w:rsidR="00F97290" w:rsidRPr="00FA158B" w:rsidRDefault="00F97290" w:rsidP="009C3752">
      <w:bookmarkStart w:id="292" w:name="_Ref10884156"/>
      <w:r w:rsidRPr="00FA158B">
        <w:t xml:space="preserve">En application de l'article L321-15 du code de l’énergie et afin de garantir l'équilibre général du Réseau Public de Distribution en compensant les Écarts 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internet </w:t>
      </w:r>
      <w:hyperlink r:id="rId29" w:history="1">
        <w:r w:rsidRPr="00FA158B">
          <w:rPr>
            <w:color w:val="005EB8" w:themeColor="background2"/>
          </w:rPr>
          <w:t>http://clients.rte-france.com/</w:t>
        </w:r>
      </w:hyperlink>
      <w:r w:rsidRPr="00FA158B">
        <w:t xml:space="preserve">. Ce mécanisme concerne l'ensemble des consommateurs et producteurs d’électricité, qu'ils soient raccordés au </w:t>
      </w:r>
      <w:r w:rsidRPr="00FA158B">
        <w:lastRenderedPageBreak/>
        <w:t xml:space="preserve">RPT ou au RPD. La mise en œuvre effective de ce mécanisme repose sur l'identification du périmètre du Responsable d'Equilibre au sein duquel RTE calcule l'Écart. </w:t>
      </w:r>
    </w:p>
    <w:p w14:paraId="6966FF8C" w14:textId="77777777" w:rsidR="00F97290" w:rsidRPr="00FA158B" w:rsidRDefault="00F97290" w:rsidP="009C3752">
      <w:r w:rsidRPr="00FA158B">
        <w:t>A cette fin, RTE doit être informé, d'une part, de la quantité des productions injectées et des consommations soutirées au</w:t>
      </w:r>
      <w:r w:rsidR="00710023" w:rsidRPr="00FA158B">
        <w:t xml:space="preserve"> RPD (mesurées conformément au c</w:t>
      </w:r>
      <w:r w:rsidRPr="00FA158B">
        <w:t>hapitre 3 des présentes dispositions générales) et, d'autre part, des Fournitures Déclarées échangées entre Périmètres d’Equilibre.</w:t>
      </w:r>
    </w:p>
    <w:p w14:paraId="2F669A9E" w14:textId="3681BBD6" w:rsidR="00F97290" w:rsidRPr="00FA158B" w:rsidRDefault="00F97290" w:rsidP="009C3752">
      <w:r w:rsidRPr="00FA158B">
        <w:t xml:space="preserve">Pour l'exécution de leurs missions respectives, </w:t>
      </w:r>
      <w:r w:rsidR="0076712A">
        <w:t>le GRD</w:t>
      </w:r>
      <w:r w:rsidRPr="00FA158B">
        <w:t xml:space="preserve"> et RTE s'échangent, dans le cadre de l'article R111-29 du code de l’énergie, des informations relatives au Périmètre d’Equilibre et aux quantités d'énergie déclarées et mesurées.</w:t>
      </w:r>
    </w:p>
    <w:p w14:paraId="0E466370" w14:textId="77777777" w:rsidR="00F97290" w:rsidRPr="00FA158B" w:rsidRDefault="00F97290" w:rsidP="009C3752">
      <w:r w:rsidRPr="00FA158B">
        <w:t>Le ou les Sites tels que définis dans le Contrat Unique concerné sont rattachés au Périmètre RPD du Responsabilité d’Equilibre désigné par le Fournisseur.</w:t>
      </w:r>
    </w:p>
    <w:p w14:paraId="3D617077" w14:textId="77777777" w:rsidR="00F97290" w:rsidRPr="00FA158B" w:rsidRDefault="00F97290" w:rsidP="009C3752">
      <w:r w:rsidRPr="00FA158B">
        <w:t>La date d’entrée et la date de sortie d'un Point de Livraison du Périmètre-RPD du Responsable d’Equilibre correspondent respectivement à la date d'effet du Contrat Unique et à la date de fin du Contrat Unique concerné.</w:t>
      </w:r>
    </w:p>
    <w:p w14:paraId="5E246895" w14:textId="77777777" w:rsidR="005D44B6" w:rsidRPr="00FA158B" w:rsidRDefault="005D44B6" w:rsidP="009C3752"/>
    <w:p w14:paraId="35CD16CA" w14:textId="77777777" w:rsidR="00F97290" w:rsidRPr="00FA158B" w:rsidRDefault="00F97290" w:rsidP="00DC643C">
      <w:pPr>
        <w:pStyle w:val="Titre1"/>
      </w:pPr>
      <w:bookmarkStart w:id="293" w:name="_Ref143071729"/>
      <w:bookmarkStart w:id="294" w:name="_Toc472522894"/>
      <w:bookmarkStart w:id="295" w:name="_Toc21422464"/>
      <w:r w:rsidRPr="00FA158B">
        <w:t>Tarification de l’accès et de l’utilisation du Réseau Public de Distribution</w:t>
      </w:r>
      <w:bookmarkEnd w:id="293"/>
      <w:bookmarkEnd w:id="294"/>
      <w:bookmarkEnd w:id="295"/>
    </w:p>
    <w:p w14:paraId="17F00420" w14:textId="77777777" w:rsidR="005B7009" w:rsidRPr="00FA158B" w:rsidRDefault="005B7009" w:rsidP="009C3752">
      <w:r w:rsidRPr="00FA158B">
        <w:t>La formule tarifaire d’acheminement est applicable, en chaque Point de Livraison, pour l’intégralité d’une période de douze mois consécutifs, quel que soit le Fournisseur, conformément au TURPE.</w:t>
      </w:r>
    </w:p>
    <w:p w14:paraId="6DDAF0B3" w14:textId="2A0FD484" w:rsidR="00F97290" w:rsidRPr="00FA158B" w:rsidRDefault="00F97290" w:rsidP="009C3752">
      <w:r w:rsidRPr="00FA158B">
        <w:t xml:space="preserve">Le Fournisseur informe le Client sur les formules tarifaires d’acheminement du TURPE qui peuvent être appliquées au Point de Connexion concerné, au titre de l’accès au RPD et de son utilisation, ainsi que sur les prestations réalisables par </w:t>
      </w:r>
      <w:r w:rsidR="0076712A">
        <w:t>le GRD</w:t>
      </w:r>
      <w:r w:rsidRPr="00FA158B">
        <w:t>.</w:t>
      </w:r>
    </w:p>
    <w:p w14:paraId="03510242" w14:textId="2A8AABB8" w:rsidR="00F97290" w:rsidRPr="00FA158B" w:rsidRDefault="00F97290" w:rsidP="009C3752">
      <w:r w:rsidRPr="00FA158B">
        <w:t>La formule tarifaire d’acheminement est choisie par le Fournisseur.</w:t>
      </w:r>
      <w:r w:rsidR="005B7009" w:rsidRPr="00FA158B">
        <w:t xml:space="preserve"> </w:t>
      </w:r>
      <w:r w:rsidR="005D0DFA">
        <w:t>L</w:t>
      </w:r>
      <w:r w:rsidR="0076712A">
        <w:t>e GRD</w:t>
      </w:r>
      <w:r w:rsidRPr="00FA158B">
        <w:t xml:space="preserve"> n'est responsable ni du choix initial, ni des éventuelles évolutions ultérieures, de la formule tarifaire d’acheminement appliquée au Point de Connexion du Client au titre de l’accès au RPD et de son utilisation.</w:t>
      </w:r>
    </w:p>
    <w:p w14:paraId="55D061EF" w14:textId="24EA8817" w:rsidR="00F97290" w:rsidRPr="00FA158B" w:rsidRDefault="00F97290" w:rsidP="009C3752">
      <w:r w:rsidRPr="00FA158B">
        <w:t xml:space="preserve">Les données de comptage transmises par </w:t>
      </w:r>
      <w:r w:rsidR="0076712A">
        <w:t>le GRD</w:t>
      </w:r>
      <w:r w:rsidRPr="00FA158B">
        <w:t xml:space="preserve"> au Fournisseur pour la facturation de l’accès au Réseau Public de Distribution et de son utilisation sont fonction de la formule tarifaire d’acheminement adoptée pour le Point de Connexion concerné et des services demandés par le Fournisseur.</w:t>
      </w:r>
    </w:p>
    <w:p w14:paraId="364A045D" w14:textId="77777777" w:rsidR="00F97290" w:rsidRPr="008171E3" w:rsidRDefault="00F97290" w:rsidP="009C3752">
      <w:pPr>
        <w:rPr>
          <w:rFonts w:ascii="Calibri" w:hAnsi="Calibri"/>
        </w:rPr>
      </w:pPr>
      <w:r w:rsidRPr="00FA158B">
        <w:t>Si le Site est alimenté par plusieurs Points de Livraison raccordés en HTA, le Client peut bénéficier d’un regroupement conventionnel pour ce Site, sous réserve que les conditions prévues</w:t>
      </w:r>
      <w:r w:rsidR="00710023" w:rsidRPr="00FA158B">
        <w:t xml:space="preserve"> par le TURPE soient remplies. </w:t>
      </w:r>
      <w:r w:rsidRPr="00FA158B">
        <w:rPr>
          <w:rFonts w:ascii="Calibri" w:hAnsi="Calibri"/>
        </w:rPr>
        <w:t xml:space="preserve">Le TURPE s'applique alors à </w:t>
      </w:r>
      <w:r w:rsidRPr="008171E3">
        <w:rPr>
          <w:rFonts w:ascii="Calibri" w:hAnsi="Calibri"/>
        </w:rPr>
        <w:t>l'ensemble des Points de Livraison regroupés.</w:t>
      </w:r>
    </w:p>
    <w:p w14:paraId="50963BE6" w14:textId="05DC1C89" w:rsidR="004D4CBB" w:rsidRPr="00FA158B" w:rsidRDefault="00791F3F" w:rsidP="004D4CBB">
      <w:r w:rsidRPr="008171E3">
        <w:t>D</w:t>
      </w:r>
      <w:r w:rsidR="004D4CBB" w:rsidRPr="008171E3">
        <w:t xml:space="preserve">ans le cas d’un utilisateur auto-producteur disposant, pour un même point de connexion, d’un contrat en injection et d’un contrat </w:t>
      </w:r>
      <w:r w:rsidRPr="008171E3">
        <w:t xml:space="preserve">unique </w:t>
      </w:r>
      <w:r w:rsidR="004D4CBB" w:rsidRPr="008171E3">
        <w:t xml:space="preserve">en soutirage, ou d’un contrat associant injection et soutirage, le montant de la composante de gestion spécifique auto-producteur, prévue par le TURPE, </w:t>
      </w:r>
      <w:r w:rsidR="000E77FF" w:rsidRPr="008171E3">
        <w:t>e</w:t>
      </w:r>
      <w:r w:rsidR="004D4CBB" w:rsidRPr="008171E3">
        <w:t>st porté par le contrat d’accès au réseau en soutirage</w:t>
      </w:r>
      <w:r w:rsidR="000E77FF" w:rsidRPr="008171E3">
        <w:rPr>
          <w:color w:val="FF0000"/>
        </w:rPr>
        <w:t>.</w:t>
      </w:r>
    </w:p>
    <w:p w14:paraId="2E84D7C6" w14:textId="31456D85" w:rsidR="00F97290" w:rsidRPr="00FA158B" w:rsidRDefault="00F97290" w:rsidP="00DC643C">
      <w:pPr>
        <w:pStyle w:val="Titre1"/>
      </w:pPr>
      <w:bookmarkStart w:id="296" w:name="_Toc165044631"/>
      <w:bookmarkStart w:id="297" w:name="_Toc165044632"/>
      <w:bookmarkStart w:id="298" w:name="_Ref52793539"/>
      <w:bookmarkStart w:id="299" w:name="_Toc472522895"/>
      <w:bookmarkStart w:id="300" w:name="_Toc21422465"/>
      <w:bookmarkEnd w:id="287"/>
      <w:bookmarkEnd w:id="288"/>
      <w:bookmarkEnd w:id="289"/>
      <w:bookmarkEnd w:id="290"/>
      <w:bookmarkEnd w:id="291"/>
      <w:bookmarkEnd w:id="292"/>
      <w:bookmarkEnd w:id="296"/>
      <w:bookmarkEnd w:id="297"/>
      <w:r w:rsidRPr="00FA158B">
        <w:t>Règles de sécurité</w:t>
      </w:r>
      <w:bookmarkEnd w:id="298"/>
      <w:bookmarkEnd w:id="299"/>
      <w:bookmarkEnd w:id="300"/>
    </w:p>
    <w:p w14:paraId="39568C04" w14:textId="77777777" w:rsidR="00F97290" w:rsidRPr="00FA158B" w:rsidRDefault="00F97290" w:rsidP="009C3752">
      <w:pPr>
        <w:pStyle w:val="Titre2"/>
      </w:pPr>
      <w:bookmarkStart w:id="301" w:name="_Toc35240154"/>
      <w:bookmarkStart w:id="302" w:name="_Toc53829215"/>
      <w:bookmarkStart w:id="303" w:name="_Toc472522896"/>
      <w:bookmarkStart w:id="304" w:name="_Toc21422466"/>
      <w:r w:rsidRPr="00FA158B">
        <w:t>Règles générales de sécurité</w:t>
      </w:r>
      <w:bookmarkEnd w:id="301"/>
      <w:bookmarkEnd w:id="302"/>
      <w:bookmarkEnd w:id="303"/>
      <w:bookmarkEnd w:id="304"/>
    </w:p>
    <w:p w14:paraId="48463B10" w14:textId="12EF8972" w:rsidR="00F97290" w:rsidRPr="00FA158B" w:rsidRDefault="00F97290" w:rsidP="009C3752">
      <w:r w:rsidRPr="00FA158B">
        <w:t xml:space="preserve">La distribution de l’énergie électrique par </w:t>
      </w:r>
      <w:r w:rsidR="0076712A">
        <w:t>le GRD</w:t>
      </w:r>
      <w:r w:rsidRPr="00FA158B">
        <w:t xml:space="preserve"> et son utilisation par le Client sont </w:t>
      </w:r>
      <w:proofErr w:type="gramStart"/>
      <w:r w:rsidRPr="00FA158B">
        <w:t>effectués</w:t>
      </w:r>
      <w:proofErr w:type="gramEnd"/>
      <w:r w:rsidRPr="00FA158B">
        <w:t xml:space="preserve"> en se conformant strictement à la réglementation applicable relative à l’électricité et la sécurité. </w:t>
      </w:r>
      <w:bookmarkStart w:id="305" w:name="_Ref35239017"/>
      <w:bookmarkStart w:id="306" w:name="_Toc35240155"/>
    </w:p>
    <w:p w14:paraId="4954A4D6" w14:textId="77777777" w:rsidR="00F97290" w:rsidRPr="00FA158B" w:rsidRDefault="00F97290" w:rsidP="009C3752">
      <w:pPr>
        <w:pStyle w:val="Titre2"/>
      </w:pPr>
      <w:bookmarkStart w:id="307" w:name="_Ref40763875"/>
      <w:bookmarkStart w:id="308" w:name="_Toc53829216"/>
      <w:bookmarkStart w:id="309" w:name="_Toc472522897"/>
      <w:bookmarkStart w:id="310" w:name="_Toc21422467"/>
      <w:r w:rsidRPr="00FA158B">
        <w:t>Installation électrique intérieure</w:t>
      </w:r>
      <w:bookmarkEnd w:id="307"/>
      <w:bookmarkEnd w:id="308"/>
      <w:r w:rsidRPr="00FA158B">
        <w:t xml:space="preserve"> </w:t>
      </w:r>
      <w:bookmarkEnd w:id="305"/>
      <w:bookmarkEnd w:id="306"/>
      <w:r w:rsidRPr="00FA158B">
        <w:t>du Client</w:t>
      </w:r>
      <w:bookmarkEnd w:id="309"/>
      <w:bookmarkEnd w:id="310"/>
    </w:p>
    <w:p w14:paraId="4F447F48" w14:textId="4F0A8870" w:rsidR="00F97290" w:rsidRPr="00FA158B" w:rsidRDefault="00F97290" w:rsidP="009C3752">
      <w:r w:rsidRPr="00FA158B">
        <w:t xml:space="preserve">La limite entre le Réseau Public de Distribution géré par </w:t>
      </w:r>
      <w:r w:rsidR="0076712A">
        <w:t>le GRD</w:t>
      </w:r>
      <w:r w:rsidRPr="00FA158B">
        <w:t xml:space="preserve"> et l’installation électrique intérieure du Client est précisée au Contrat Unique concerné, selon les informations transmises par </w:t>
      </w:r>
      <w:r w:rsidR="0076712A">
        <w:t>le GRD</w:t>
      </w:r>
      <w:r w:rsidRPr="00FA158B">
        <w:t>.</w:t>
      </w:r>
    </w:p>
    <w:p w14:paraId="11D3C952" w14:textId="62210FD8" w:rsidR="00F97290" w:rsidRPr="00FA158B" w:rsidRDefault="00F97290" w:rsidP="009C3752">
      <w:r w:rsidRPr="00FA158B">
        <w:t xml:space="preserve">En aval de cette limite, l’installation intérieure du Client est placée sous sa responsabilité. Elle doit avoir été réalisée conformément aux textes et normes en vigueur et entretenue de manière à éviter tout trouble de fonctionnement sur le RPD exploité par </w:t>
      </w:r>
      <w:r w:rsidR="0076712A">
        <w:t>le GRD</w:t>
      </w:r>
      <w:r w:rsidRPr="00FA158B">
        <w:t>, et à ne pas compromettre la sécurité des personnes qui interviennent sur ce réseau, ni celle du public.</w:t>
      </w:r>
    </w:p>
    <w:p w14:paraId="04DF124E" w14:textId="77777777" w:rsidR="00F97290" w:rsidRPr="00FA158B" w:rsidRDefault="00F97290" w:rsidP="009C3752">
      <w:r w:rsidRPr="00FA158B">
        <w:lastRenderedPageBreak/>
        <w:t xml:space="preserve">Le Client doit veiller à la conformité aux normes applicables de ses installations et appareils électriques. </w:t>
      </w:r>
    </w:p>
    <w:p w14:paraId="7CCDE0B2" w14:textId="3712BAD1" w:rsidR="00F97290" w:rsidRPr="00FA158B" w:rsidRDefault="00F97290" w:rsidP="009C3752">
      <w:r w:rsidRPr="00FA158B">
        <w:t xml:space="preserve">En aucun cas, </w:t>
      </w:r>
      <w:r w:rsidR="0076712A">
        <w:t>le GRD</w:t>
      </w:r>
      <w:r w:rsidRPr="00FA158B">
        <w:t xml:space="preserve"> n'encourt de responsabilité en raison de la défectuo</w:t>
      </w:r>
      <w:r w:rsidR="002B3E0E">
        <w:t>sité ou d’un défaut de sécurité</w:t>
      </w:r>
      <w:r w:rsidRPr="00FA158B">
        <w:t xml:space="preserve"> de l’installation électrique intérieure du Client.</w:t>
      </w:r>
    </w:p>
    <w:p w14:paraId="01320CDF" w14:textId="77777777" w:rsidR="00F97290" w:rsidRPr="00FA158B" w:rsidRDefault="00F97290" w:rsidP="00DC643C">
      <w:pPr>
        <w:pStyle w:val="Titre1"/>
      </w:pPr>
      <w:bookmarkStart w:id="311" w:name="_Toc165044638"/>
      <w:bookmarkStart w:id="312" w:name="_Toc165044640"/>
      <w:bookmarkStart w:id="313" w:name="_Toc165044644"/>
      <w:bookmarkStart w:id="314" w:name="_Toc165044646"/>
      <w:bookmarkStart w:id="315" w:name="_Toc165044648"/>
      <w:bookmarkStart w:id="316" w:name="_Toc165044651"/>
      <w:bookmarkStart w:id="317" w:name="_Toc510956074"/>
      <w:bookmarkStart w:id="318" w:name="_Toc513617467"/>
      <w:bookmarkStart w:id="319" w:name="_Toc520252366"/>
      <w:bookmarkStart w:id="320" w:name="_Toc520260100"/>
      <w:bookmarkStart w:id="321" w:name="_Toc527350885"/>
      <w:bookmarkStart w:id="322" w:name="_Ref15814283"/>
      <w:bookmarkStart w:id="323" w:name="_Toc17010076"/>
      <w:bookmarkStart w:id="324" w:name="_Toc33610800"/>
      <w:bookmarkStart w:id="325" w:name="_Ref53832949"/>
      <w:bookmarkStart w:id="326" w:name="_Toc472522898"/>
      <w:bookmarkStart w:id="327" w:name="_Toc21422468"/>
      <w:bookmarkStart w:id="328" w:name="_Toc510956081"/>
      <w:bookmarkStart w:id="329" w:name="_Toc513617474"/>
      <w:bookmarkStart w:id="330" w:name="_Toc520252374"/>
      <w:bookmarkStart w:id="331" w:name="_Toc520260108"/>
      <w:bookmarkEnd w:id="311"/>
      <w:bookmarkEnd w:id="312"/>
      <w:bookmarkEnd w:id="313"/>
      <w:bookmarkEnd w:id="314"/>
      <w:bookmarkEnd w:id="315"/>
      <w:bookmarkEnd w:id="316"/>
      <w:r w:rsidRPr="00FA158B">
        <w:t>Responsabilité</w:t>
      </w:r>
      <w:bookmarkEnd w:id="317"/>
      <w:bookmarkEnd w:id="318"/>
      <w:bookmarkEnd w:id="319"/>
      <w:bookmarkEnd w:id="320"/>
      <w:bookmarkEnd w:id="321"/>
      <w:bookmarkEnd w:id="322"/>
      <w:bookmarkEnd w:id="323"/>
      <w:bookmarkEnd w:id="324"/>
      <w:bookmarkEnd w:id="325"/>
      <w:bookmarkEnd w:id="326"/>
      <w:bookmarkEnd w:id="327"/>
    </w:p>
    <w:p w14:paraId="78247264" w14:textId="59CBDA1B" w:rsidR="00F97290" w:rsidRPr="00FA158B" w:rsidRDefault="00F97290" w:rsidP="009C3752">
      <w:pPr>
        <w:pStyle w:val="Titre2"/>
      </w:pPr>
      <w:bookmarkStart w:id="332" w:name="_Toc74038121"/>
      <w:bookmarkStart w:id="333" w:name="_Ref140900001"/>
      <w:bookmarkStart w:id="334" w:name="_Ref165110460"/>
      <w:bookmarkStart w:id="335" w:name="_Ref209237259"/>
      <w:bookmarkStart w:id="336" w:name="_Toc472522899"/>
      <w:bookmarkStart w:id="337" w:name="_Toc21422469"/>
      <w:bookmarkStart w:id="338" w:name="_Ref51584482"/>
      <w:bookmarkEnd w:id="328"/>
      <w:bookmarkEnd w:id="329"/>
      <w:bookmarkEnd w:id="330"/>
      <w:bookmarkEnd w:id="331"/>
      <w:r w:rsidRPr="00FA158B">
        <w:t xml:space="preserve">Responsabilité </w:t>
      </w:r>
      <w:r w:rsidR="0076712A">
        <w:t>du GRD</w:t>
      </w:r>
      <w:r w:rsidRPr="00FA158B">
        <w:t xml:space="preserve"> vis-à-vis du Client</w:t>
      </w:r>
      <w:bookmarkEnd w:id="332"/>
      <w:bookmarkEnd w:id="333"/>
      <w:bookmarkEnd w:id="334"/>
      <w:bookmarkEnd w:id="335"/>
      <w:bookmarkEnd w:id="336"/>
      <w:bookmarkEnd w:id="337"/>
    </w:p>
    <w:p w14:paraId="29456D0D" w14:textId="7C7B26A1" w:rsidR="00F97290" w:rsidRPr="00FA158B" w:rsidRDefault="00F97290" w:rsidP="000C0CCD">
      <w:pPr>
        <w:pStyle w:val="Titre3"/>
      </w:pPr>
      <w:bookmarkStart w:id="339" w:name="_Ref143924454"/>
      <w:bookmarkStart w:id="340" w:name="_Toc21422470"/>
      <w:r w:rsidRPr="00FA158B">
        <w:t xml:space="preserve">Engagement et responsabilité </w:t>
      </w:r>
      <w:r w:rsidR="0076712A">
        <w:t>du GRD</w:t>
      </w:r>
      <w:r w:rsidRPr="00FA158B">
        <w:t xml:space="preserve"> vis-à-vis du Client</w:t>
      </w:r>
      <w:bookmarkEnd w:id="339"/>
      <w:bookmarkEnd w:id="340"/>
    </w:p>
    <w:p w14:paraId="6775615D" w14:textId="7CCC667D" w:rsidR="00F97290" w:rsidRPr="00FA158B" w:rsidRDefault="005D0DFA" w:rsidP="009C3752">
      <w:r>
        <w:t>L</w:t>
      </w:r>
      <w:r w:rsidR="0076712A">
        <w:t>e GRD</w:t>
      </w:r>
      <w:r w:rsidR="00F97290" w:rsidRPr="00FA158B">
        <w:t xml:space="preserve"> est seul responsable des dommages directs et certains causés au Client en cas de non-respect d’une ou plusieurs des obligations, vis-à-vis du Client, mises à sa charge aux termes du contrat GRD-F.</w:t>
      </w:r>
    </w:p>
    <w:p w14:paraId="1D251E3B" w14:textId="5005671E" w:rsidR="00F97290" w:rsidRPr="00FA158B" w:rsidRDefault="00F97290" w:rsidP="009C3752">
      <w:r w:rsidRPr="00FA158B">
        <w:t xml:space="preserve">Le Client dispose d’un droit contractuel direct à l’encontre </w:t>
      </w:r>
      <w:r w:rsidR="0076712A">
        <w:t>du GRD</w:t>
      </w:r>
      <w:r w:rsidRPr="00FA158B">
        <w:t xml:space="preserve"> pour les engagements </w:t>
      </w:r>
      <w:r w:rsidR="0076712A">
        <w:t>du GRD</w:t>
      </w:r>
      <w:r w:rsidRPr="00FA158B">
        <w:t xml:space="preserve"> vis-à-vis </w:t>
      </w:r>
      <w:proofErr w:type="gramStart"/>
      <w:r w:rsidRPr="00FA158B">
        <w:t>du Client contenus</w:t>
      </w:r>
      <w:proofErr w:type="gramEnd"/>
      <w:r w:rsidRPr="00FA158B">
        <w:t xml:space="preserve"> dans le contrat GRD-F.</w:t>
      </w:r>
    </w:p>
    <w:p w14:paraId="3405710F" w14:textId="7A51D8DD" w:rsidR="00F97290" w:rsidRPr="00FA158B" w:rsidRDefault="00F97290" w:rsidP="009C3752">
      <w:r w:rsidRPr="00FA158B">
        <w:t xml:space="preserve">Lorsque </w:t>
      </w:r>
      <w:r w:rsidR="0076712A">
        <w:t>le GRD</w:t>
      </w:r>
      <w:r w:rsidRPr="00FA158B">
        <w:t xml:space="preserve"> est </w:t>
      </w:r>
      <w:proofErr w:type="gramStart"/>
      <w:r w:rsidRPr="00FA158B">
        <w:t>reconnue</w:t>
      </w:r>
      <w:proofErr w:type="gramEnd"/>
      <w:r w:rsidRPr="00FA158B">
        <w:t xml:space="preserve"> responsable vis-à-vis du Client en application des articles ci-dessous, elle est tenue de réparer pécuniairement l’ensemble des dommages directs et certains causés au Client.</w:t>
      </w:r>
    </w:p>
    <w:p w14:paraId="4FCF2C0F" w14:textId="721D6A6F" w:rsidR="00F97290" w:rsidRPr="00FA158B" w:rsidRDefault="00F97290" w:rsidP="009C3752">
      <w:r w:rsidRPr="00FA158B">
        <w:t xml:space="preserve">L’existence de groupes de secours, installés comme il est prévu à l’article </w:t>
      </w:r>
      <w:r w:rsidR="00983D6B" w:rsidRPr="00FA158B">
        <w:fldChar w:fldCharType="begin"/>
      </w:r>
      <w:r w:rsidR="00983D6B" w:rsidRPr="00FA158B">
        <w:instrText xml:space="preserve"> REF _Ref148431626 \r \h  \* MERGEFORMAT </w:instrText>
      </w:r>
      <w:r w:rsidR="00983D6B" w:rsidRPr="00FA158B">
        <w:fldChar w:fldCharType="separate"/>
      </w:r>
      <w:r w:rsidR="005E7E99">
        <w:t>2.3.2</w:t>
      </w:r>
      <w:r w:rsidR="00983D6B" w:rsidRPr="00FA158B">
        <w:fldChar w:fldCharType="end"/>
      </w:r>
      <w:r w:rsidRPr="00FA158B">
        <w:t xml:space="preserve"> des présentes dispositions générales ne modifie en rien les droits et obligations du Client et </w:t>
      </w:r>
      <w:r w:rsidR="0076712A">
        <w:t>du GRD</w:t>
      </w:r>
      <w:r w:rsidRPr="00FA158B">
        <w:t xml:space="preserve"> résultant des dispositions des articles ci</w:t>
      </w:r>
      <w:r w:rsidR="005D0DFA">
        <w:t>-</w:t>
      </w:r>
      <w:r w:rsidRPr="00FA158B">
        <w:t>dessous.</w:t>
      </w:r>
    </w:p>
    <w:p w14:paraId="59DA0C98" w14:textId="4B7514E9" w:rsidR="00F97290" w:rsidRPr="00FA158B" w:rsidRDefault="00F97290" w:rsidP="009C3752">
      <w:r w:rsidRPr="00FA158B">
        <w:t xml:space="preserve">Dans tous les cas où </w:t>
      </w:r>
      <w:r w:rsidR="0076712A">
        <w:t>le GRD</w:t>
      </w:r>
      <w:r w:rsidRPr="00FA158B">
        <w:t xml:space="preserve"> est reconnu responsable et qu’</w:t>
      </w:r>
      <w:r w:rsidR="007E62D2">
        <w:t>il</w:t>
      </w:r>
      <w:r w:rsidRPr="00FA158B">
        <w:t xml:space="preserve"> a indemnisé le Client pour les dommages subis, l'incident (Coupure ou défaut de qualité) ne sera pas comptabilisé ultérieurement pour vérifier le respect des engagements </w:t>
      </w:r>
      <w:r w:rsidR="0076712A">
        <w:t>du GRD</w:t>
      </w:r>
      <w:r w:rsidRPr="00FA158B">
        <w:t>.</w:t>
      </w:r>
    </w:p>
    <w:p w14:paraId="1D22188F" w14:textId="65B015AB" w:rsidR="00F97290" w:rsidRPr="00FA158B" w:rsidRDefault="00F97290" w:rsidP="009C3752">
      <w:r w:rsidRPr="00FA158B">
        <w:t xml:space="preserve">Tout engagement complémentaire ou différent que le Fournisseur aurait souscrit envers le Client en matière de continuité et de qualité de la fourniture ne saurait être opposable </w:t>
      </w:r>
      <w:r w:rsidR="0076712A">
        <w:t>au GRD</w:t>
      </w:r>
      <w:r w:rsidRPr="00FA158B">
        <w:t xml:space="preserve"> et engage le Fournisseur seul à l’égard du Client.</w:t>
      </w:r>
    </w:p>
    <w:p w14:paraId="4014EAA9" w14:textId="77777777" w:rsidR="00F97290" w:rsidRPr="00FA158B" w:rsidRDefault="00F97290" w:rsidP="000C0CCD">
      <w:pPr>
        <w:pStyle w:val="Titre3"/>
      </w:pPr>
      <w:bookmarkStart w:id="341" w:name="_Ref165103175"/>
      <w:bookmarkStart w:id="342" w:name="_Toc21422471"/>
      <w:r w:rsidRPr="00FA158B">
        <w:t>Traitement des réclamations du Client</w:t>
      </w:r>
      <w:bookmarkEnd w:id="341"/>
      <w:bookmarkEnd w:id="342"/>
    </w:p>
    <w:p w14:paraId="7D7B1E85" w14:textId="2F3C37F5" w:rsidR="00F97290" w:rsidRPr="00FA158B" w:rsidRDefault="00F97290" w:rsidP="009C3752">
      <w:r w:rsidRPr="00FA158B">
        <w:t xml:space="preserve">En cas de réclamation du Client ayant pour origine un non-respect par </w:t>
      </w:r>
      <w:r w:rsidR="0076712A">
        <w:t>le GRD</w:t>
      </w:r>
      <w:r w:rsidRPr="00FA158B">
        <w:t xml:space="preserve"> de ses obligations, le Client peut, selon son choix, porter sa réclamation :</w:t>
      </w:r>
    </w:p>
    <w:p w14:paraId="774EDF4E" w14:textId="6BE969B5" w:rsidR="00F97290" w:rsidRPr="00FA158B" w:rsidRDefault="00F97290" w:rsidP="0004412B">
      <w:pPr>
        <w:pStyle w:val="SPuce"/>
      </w:pPr>
      <w:proofErr w:type="gramStart"/>
      <w:r w:rsidRPr="00FA158B">
        <w:t>soit</w:t>
      </w:r>
      <w:proofErr w:type="gramEnd"/>
      <w:r w:rsidRPr="00FA158B">
        <w:t xml:space="preserve"> directement auprès </w:t>
      </w:r>
      <w:r w:rsidR="0076712A">
        <w:t>du GRD</w:t>
      </w:r>
      <w:r w:rsidRPr="00FA158B">
        <w:t xml:space="preserve"> en utilisant le formulaire « Réclamation » disponible sur son </w:t>
      </w:r>
      <w:r w:rsidR="00CE16AE">
        <w:t>Site</w:t>
      </w:r>
      <w:r w:rsidRPr="00FA158B">
        <w:t xml:space="preserve"> internet ou en lui adressant un courrier</w:t>
      </w:r>
      <w:r w:rsidR="00A978E9">
        <w:t>,</w:t>
      </w:r>
    </w:p>
    <w:p w14:paraId="27D9B171" w14:textId="77777777" w:rsidR="00F97290" w:rsidRPr="00FA158B" w:rsidRDefault="00F97290" w:rsidP="0004412B">
      <w:pPr>
        <w:pStyle w:val="SPuce"/>
        <w:rPr>
          <w:rFonts w:cs="Arial"/>
        </w:rPr>
      </w:pPr>
      <w:proofErr w:type="gramStart"/>
      <w:r w:rsidRPr="00FA158B">
        <w:t>soit</w:t>
      </w:r>
      <w:proofErr w:type="gramEnd"/>
      <w:r w:rsidRPr="00FA158B">
        <w:t xml:space="preserve"> auprès de son Fournisseur</w:t>
      </w:r>
      <w:r w:rsidRPr="00FA158B">
        <w:rPr>
          <w:rFonts w:cs="Arial"/>
        </w:rPr>
        <w:t xml:space="preserve">. </w:t>
      </w:r>
    </w:p>
    <w:p w14:paraId="65790A80" w14:textId="77777777" w:rsidR="00F97290" w:rsidRPr="00FA158B" w:rsidRDefault="00F97290" w:rsidP="009C3752">
      <w:r w:rsidRPr="00FA158B">
        <w:t xml:space="preserve">La réclamation du Client est traitée selon la procédure de règlement amiable décrite aux articles </w:t>
      </w:r>
      <w:r w:rsidR="00983D6B" w:rsidRPr="00FA158B">
        <w:fldChar w:fldCharType="begin"/>
      </w:r>
      <w:r w:rsidR="00983D6B" w:rsidRPr="00FA158B">
        <w:instrText xml:space="preserve"> REF _Ref416860191 \r \h  \* MERGEFORMAT </w:instrText>
      </w:r>
      <w:r w:rsidR="00983D6B" w:rsidRPr="00FA158B">
        <w:fldChar w:fldCharType="separate"/>
      </w:r>
      <w:r w:rsidR="005E7E99">
        <w:t>9.1.2.1</w:t>
      </w:r>
      <w:r w:rsidR="00983D6B" w:rsidRPr="00FA158B">
        <w:fldChar w:fldCharType="end"/>
      </w:r>
      <w:r w:rsidRPr="00FA158B">
        <w:t xml:space="preserve"> et </w:t>
      </w:r>
      <w:r w:rsidR="00983D6B" w:rsidRPr="00FA158B">
        <w:fldChar w:fldCharType="begin"/>
      </w:r>
      <w:r w:rsidR="00983D6B" w:rsidRPr="00FA158B">
        <w:instrText xml:space="preserve"> REF _Ref416860211 \r \h  \* MERGEFORMAT </w:instrText>
      </w:r>
      <w:r w:rsidR="00983D6B" w:rsidRPr="00FA158B">
        <w:fldChar w:fldCharType="separate"/>
      </w:r>
      <w:r w:rsidR="005E7E99">
        <w:t>9.1.2.2</w:t>
      </w:r>
      <w:r w:rsidR="00983D6B" w:rsidRPr="00FA158B">
        <w:fldChar w:fldCharType="end"/>
      </w:r>
      <w:r w:rsidRPr="00FA158B">
        <w:t xml:space="preserve"> des présentes dispositions générales.</w:t>
      </w:r>
    </w:p>
    <w:p w14:paraId="6F94B128" w14:textId="77777777" w:rsidR="00F97290" w:rsidRPr="00FA158B" w:rsidRDefault="00F97290" w:rsidP="009C3752">
      <w:r w:rsidRPr="00FA158B">
        <w:t>Le Client peut saisir à tout moment la juridiction compétente.</w:t>
      </w:r>
    </w:p>
    <w:p w14:paraId="365D3182" w14:textId="71A1CE6C" w:rsidR="00F97290" w:rsidRPr="00FA158B" w:rsidRDefault="00F97290" w:rsidP="009C3752">
      <w:r w:rsidRPr="00FA158B">
        <w:t xml:space="preserve">Dans l’hypothèse où le Client ou un tiers mandaté assigne </w:t>
      </w:r>
      <w:r w:rsidR="0076712A">
        <w:t>le GRD</w:t>
      </w:r>
      <w:r w:rsidRPr="00FA158B">
        <w:t xml:space="preserve"> ou le Fournisseur, celui contre lequel l’action est dirigée peut </w:t>
      </w:r>
      <w:r w:rsidR="002B3E0E">
        <w:t>appeler en garantie l’autre s’i</w:t>
      </w:r>
      <w:r w:rsidRPr="00FA158B">
        <w:t>l estime de bonne foi que ce dernier est impliqué dans la survenance du dommage subi par le Client.</w:t>
      </w:r>
    </w:p>
    <w:p w14:paraId="30412A4F" w14:textId="4E24DF69" w:rsidR="00F97290" w:rsidRPr="00FA158B" w:rsidRDefault="00F97290" w:rsidP="009C3752">
      <w:r w:rsidRPr="00FA158B">
        <w:t xml:space="preserve">En cas de recours contentieux ou dans le cadre de la procédure prévue par l’article </w:t>
      </w:r>
      <w:r w:rsidR="00983D6B" w:rsidRPr="00FA158B">
        <w:fldChar w:fldCharType="begin"/>
      </w:r>
      <w:r w:rsidR="00983D6B" w:rsidRPr="00FA158B">
        <w:instrText xml:space="preserve"> REF _Ref73935320 \r \h  \* MERGEFORMAT </w:instrText>
      </w:r>
      <w:r w:rsidR="00983D6B" w:rsidRPr="00FA158B">
        <w:fldChar w:fldCharType="separate"/>
      </w:r>
      <w:r w:rsidR="005E7E99">
        <w:t>9.1.2.2</w:t>
      </w:r>
      <w:r w:rsidR="00983D6B" w:rsidRPr="00FA158B">
        <w:fldChar w:fldCharType="end"/>
      </w:r>
      <w:r w:rsidRPr="00FA158B">
        <w:t xml:space="preserve">, le Fournisseur s’engage à communiquer sur simple demande </w:t>
      </w:r>
      <w:r w:rsidR="0076712A">
        <w:t>au GRD</w:t>
      </w:r>
      <w:r w:rsidRPr="00FA158B">
        <w:t xml:space="preserve"> le Contrat Unique conclu avec le Client. Toutefois, le Fournisseur se réserve le droit de masquer les dispositions du Contrat Unique ne concernant pas l’accès au réseau.</w:t>
      </w:r>
    </w:p>
    <w:p w14:paraId="4F00E99F" w14:textId="77777777" w:rsidR="00F97290" w:rsidRPr="00FA158B" w:rsidRDefault="00F97290" w:rsidP="000C0CCD">
      <w:pPr>
        <w:pStyle w:val="Titre4"/>
      </w:pPr>
      <w:bookmarkStart w:id="343" w:name="_Ref416860191"/>
      <w:r w:rsidRPr="00FA158B">
        <w:t xml:space="preserve">Dispositions générales pour le traitement des réclamations </w:t>
      </w:r>
      <w:bookmarkEnd w:id="343"/>
    </w:p>
    <w:p w14:paraId="710F5931" w14:textId="779B977B" w:rsidR="00F97290" w:rsidRPr="00FA158B" w:rsidRDefault="00F97290" w:rsidP="009C3752">
      <w:r w:rsidRPr="00FA158B">
        <w:t xml:space="preserve">Le Client transmet sa réclamation au Fournisseur ou directement </w:t>
      </w:r>
      <w:r w:rsidR="0076712A">
        <w:t>au GRD</w:t>
      </w:r>
      <w:r w:rsidRPr="00FA158B">
        <w:t>, avec l’ensemble des pièces utiles au traitement de la réclamation.</w:t>
      </w:r>
    </w:p>
    <w:p w14:paraId="74DDA43C" w14:textId="77777777" w:rsidR="00F97290" w:rsidRPr="00FA158B" w:rsidRDefault="00F97290" w:rsidP="009C3752">
      <w:r w:rsidRPr="00FA158B">
        <w:t xml:space="preserve">Conformément à l'article </w:t>
      </w:r>
      <w:r w:rsidR="00983D6B" w:rsidRPr="00FA158B">
        <w:fldChar w:fldCharType="begin"/>
      </w:r>
      <w:r w:rsidR="00983D6B" w:rsidRPr="00FA158B">
        <w:instrText xml:space="preserve"> REF _Ref165110425 \r \h  \* MERGEFORMAT </w:instrText>
      </w:r>
      <w:r w:rsidR="00983D6B" w:rsidRPr="00FA158B">
        <w:fldChar w:fldCharType="separate"/>
      </w:r>
      <w:r w:rsidR="005E7E99">
        <w:t>1.3</w:t>
      </w:r>
      <w:r w:rsidR="00983D6B" w:rsidRPr="00FA158B">
        <w:fldChar w:fldCharType="end"/>
      </w:r>
      <w:r w:rsidRPr="00FA158B">
        <w:t xml:space="preserve"> des présentes dispositions générales, le Fournisseur est chargé du recueil des réclamations du Client relatives au Contrat Unique qui lui sont adressées. </w:t>
      </w:r>
    </w:p>
    <w:p w14:paraId="75F28050" w14:textId="11757113" w:rsidR="00F97290" w:rsidRPr="00FA158B" w:rsidRDefault="00F97290" w:rsidP="009C3752">
      <w:r w:rsidRPr="00FA158B">
        <w:lastRenderedPageBreak/>
        <w:t xml:space="preserve">Le Fournisseur transmet </w:t>
      </w:r>
      <w:r w:rsidR="0076712A">
        <w:t>au GRD</w:t>
      </w:r>
      <w:r w:rsidRPr="00FA158B">
        <w:t xml:space="preserve"> dans les cinq jours </w:t>
      </w:r>
      <w:proofErr w:type="gramStart"/>
      <w:r w:rsidRPr="00FA158B">
        <w:t>ouvrés  les</w:t>
      </w:r>
      <w:proofErr w:type="gramEnd"/>
      <w:r w:rsidRPr="00FA158B">
        <w:t xml:space="preserve"> réclamations qui, au sens de l'article </w:t>
      </w:r>
      <w:r w:rsidR="00983D6B" w:rsidRPr="00FA158B">
        <w:fldChar w:fldCharType="begin"/>
      </w:r>
      <w:r w:rsidR="00983D6B" w:rsidRPr="00FA158B">
        <w:instrText xml:space="preserve"> REF _Ref165110460 \r \h  \* MERGEFORMAT </w:instrText>
      </w:r>
      <w:r w:rsidR="00983D6B" w:rsidRPr="00FA158B">
        <w:fldChar w:fldCharType="separate"/>
      </w:r>
      <w:r w:rsidR="005E7E99">
        <w:t>9.1</w:t>
      </w:r>
      <w:r w:rsidR="00983D6B" w:rsidRPr="00FA158B">
        <w:fldChar w:fldCharType="end"/>
      </w:r>
      <w:r w:rsidRPr="00FA158B">
        <w:t xml:space="preserve"> concernent </w:t>
      </w:r>
      <w:r w:rsidR="0076712A">
        <w:t>le GRD</w:t>
      </w:r>
      <w:r w:rsidRPr="00FA158B">
        <w:t>, via la Plate-forme d'échanges</w:t>
      </w:r>
      <w:r w:rsidR="00A978E9">
        <w:t xml:space="preserve"> du GRD</w:t>
      </w:r>
      <w:r w:rsidRPr="00FA158B">
        <w:t>. A cette occasion, il joint l'ensemble des pièces utiles au traitement de la réclamation du Client qui sont à sa disposition.</w:t>
      </w:r>
    </w:p>
    <w:p w14:paraId="73317A44" w14:textId="766598D5" w:rsidR="00F97290" w:rsidRPr="00FA158B" w:rsidRDefault="005D0DFA" w:rsidP="009C3752">
      <w:r>
        <w:t>L</w:t>
      </w:r>
      <w:r w:rsidR="0076712A">
        <w:t>e GRD</w:t>
      </w:r>
      <w:r w:rsidR="00F97290" w:rsidRPr="00FA158B">
        <w:t xml:space="preserve"> accuse réception de la réclamation par envoi d'un courriel à l'adresse électronique du Fournisseur émettrice de la réclamation, ainsi que par une information sur la Plate-forme d'échanges</w:t>
      </w:r>
      <w:r w:rsidR="005919FA" w:rsidRPr="00FA158B">
        <w:t xml:space="preserve"> </w:t>
      </w:r>
      <w:r w:rsidR="00A978E9">
        <w:t>du GRD</w:t>
      </w:r>
      <w:r w:rsidR="00F97290" w:rsidRPr="00FA158B">
        <w:t>.</w:t>
      </w:r>
    </w:p>
    <w:p w14:paraId="4C2C709F" w14:textId="32A50C94" w:rsidR="00F97290" w:rsidRPr="00FA158B" w:rsidRDefault="00F97290" w:rsidP="009C3752">
      <w:r w:rsidRPr="00FA158B">
        <w:t xml:space="preserve">Dans le cas où l'objet de la réclamation est relatif au Contrat Unique, </w:t>
      </w:r>
      <w:r w:rsidR="0076712A">
        <w:t>le GRD</w:t>
      </w:r>
      <w:r w:rsidRPr="00FA158B">
        <w:t xml:space="preserve"> répond dans un délai de trente jours calendaires, à compter de la date de la réclamation accompagnée de l’ensemble des éléments du dossier, hormis les cas de réclamations consécutives à une situation de crise, au Fournisseur sur la Plate-forme d'échanges</w:t>
      </w:r>
      <w:r w:rsidR="005919FA" w:rsidRPr="00FA158B">
        <w:t xml:space="preserve"> </w:t>
      </w:r>
      <w:r w:rsidR="00A978E9">
        <w:t xml:space="preserve">du GRD </w:t>
      </w:r>
      <w:r w:rsidRPr="00FA158B">
        <w:t>et le Fournisseur se charge de la réponse définitive au Client.</w:t>
      </w:r>
    </w:p>
    <w:p w14:paraId="5FE96F95" w14:textId="00E06482" w:rsidR="00F97290" w:rsidRPr="00FA158B" w:rsidRDefault="00F97290" w:rsidP="009C3752">
      <w:r w:rsidRPr="00FA158B">
        <w:t xml:space="preserve">La réponse est portée directement au Client par </w:t>
      </w:r>
      <w:r w:rsidR="0076712A">
        <w:t>le GRD</w:t>
      </w:r>
      <w:r w:rsidRPr="00FA158B">
        <w:t>, dans les mêmes délais que ceux précisés à l’alinéa précédent, dans les cas suivants :</w:t>
      </w:r>
    </w:p>
    <w:p w14:paraId="196A8F95" w14:textId="77777777" w:rsidR="00F97290" w:rsidRPr="00FA158B" w:rsidRDefault="00F97290" w:rsidP="0004412B">
      <w:pPr>
        <w:pStyle w:val="SPuce"/>
      </w:pPr>
      <w:proofErr w:type="gramStart"/>
      <w:r w:rsidRPr="00FA158B">
        <w:t>l'objet</w:t>
      </w:r>
      <w:proofErr w:type="gramEnd"/>
      <w:r w:rsidRPr="00FA158B">
        <w:t xml:space="preserve"> de la réclamation est relatif à la continuité et/ou à la qualité de l’onde électrique, sur demande du Fournisseur ;</w:t>
      </w:r>
    </w:p>
    <w:p w14:paraId="2813028D" w14:textId="3B7C816E" w:rsidR="00F97290" w:rsidRPr="00FA158B" w:rsidRDefault="00F97290" w:rsidP="0004412B">
      <w:pPr>
        <w:pStyle w:val="SPuce"/>
      </w:pPr>
      <w:proofErr w:type="gramStart"/>
      <w:r w:rsidRPr="00FA158B">
        <w:t>l'objet</w:t>
      </w:r>
      <w:proofErr w:type="gramEnd"/>
      <w:r w:rsidRPr="00FA158B">
        <w:t xml:space="preserve"> de la réclamation est hors champ du Contrat Unique et concerne </w:t>
      </w:r>
      <w:r w:rsidR="0076712A">
        <w:t>le GRD</w:t>
      </w:r>
      <w:r w:rsidRPr="00FA158B">
        <w:t> ;</w:t>
      </w:r>
    </w:p>
    <w:p w14:paraId="7C559045" w14:textId="2CB51387" w:rsidR="00F97290" w:rsidRPr="00FA158B" w:rsidRDefault="00F97290" w:rsidP="0004412B">
      <w:pPr>
        <w:pStyle w:val="SPuce"/>
      </w:pPr>
      <w:proofErr w:type="gramStart"/>
      <w:r w:rsidRPr="00FA158B">
        <w:t>le</w:t>
      </w:r>
      <w:proofErr w:type="gramEnd"/>
      <w:r w:rsidRPr="00FA158B">
        <w:t xml:space="preserve"> Client a adressé sa réclamation directement </w:t>
      </w:r>
      <w:r w:rsidR="0076712A">
        <w:t>au GRD</w:t>
      </w:r>
      <w:r w:rsidRPr="00FA158B">
        <w:t>.</w:t>
      </w:r>
    </w:p>
    <w:p w14:paraId="798C97FB" w14:textId="39BAE1E2" w:rsidR="00F97290" w:rsidRPr="00FA158B" w:rsidRDefault="00F97290" w:rsidP="009C3752">
      <w:r w:rsidRPr="00FA158B">
        <w:t xml:space="preserve">Dans les cas précités ci-dessus, </w:t>
      </w:r>
      <w:r w:rsidR="00A978E9">
        <w:t>le GRD</w:t>
      </w:r>
      <w:r w:rsidR="00A978E9" w:rsidRPr="00FA158B">
        <w:t xml:space="preserve"> </w:t>
      </w:r>
      <w:r w:rsidRPr="00FA158B">
        <w:t>informe le Fournisseur de la réponse apportée au Client via la Plate-forme d'échanges</w:t>
      </w:r>
      <w:r w:rsidR="00A978E9">
        <w:t xml:space="preserve"> du GRD</w:t>
      </w:r>
      <w:r w:rsidRPr="00FA158B">
        <w:t>.</w:t>
      </w:r>
    </w:p>
    <w:p w14:paraId="21AF6E33" w14:textId="77777777" w:rsidR="00F97290" w:rsidRPr="00FA158B" w:rsidRDefault="00F97290" w:rsidP="009C3752">
      <w:r w:rsidRPr="00FA158B">
        <w:t>Les réponses apportées au Client doivent mentionner les recours possibles.</w:t>
      </w:r>
    </w:p>
    <w:p w14:paraId="6223514C" w14:textId="77777777" w:rsidR="00F97290" w:rsidRPr="00FA158B" w:rsidRDefault="00F97290" w:rsidP="000C0CCD">
      <w:pPr>
        <w:pStyle w:val="Titre4"/>
      </w:pPr>
      <w:bookmarkStart w:id="344" w:name="_Ref416860211"/>
      <w:bookmarkStart w:id="345" w:name="_Ref73935320"/>
      <w:r w:rsidRPr="00FA158B">
        <w:t>Dispositions complémentaires pour le traitement des réclamations avec demande d’indemnisation</w:t>
      </w:r>
      <w:bookmarkEnd w:id="344"/>
      <w:r w:rsidRPr="00FA158B">
        <w:t xml:space="preserve"> </w:t>
      </w:r>
      <w:bookmarkEnd w:id="345"/>
    </w:p>
    <w:p w14:paraId="7FF2C857" w14:textId="13C6A343" w:rsidR="00F97290" w:rsidRPr="00FA158B" w:rsidRDefault="00F97290" w:rsidP="009C3752">
      <w:r w:rsidRPr="00FA158B">
        <w:t xml:space="preserve">Le Client victime d’un dommage qu’il attribue à une faute ou au non-respect des engagements </w:t>
      </w:r>
      <w:r w:rsidR="0076712A">
        <w:t>du GRD</w:t>
      </w:r>
      <w:r w:rsidRPr="00FA158B">
        <w:t xml:space="preserve"> définis dans les présentes dispositions générales adresse une réclamation en ce sens à son Fournisseur ou </w:t>
      </w:r>
      <w:r w:rsidR="0076712A">
        <w:t>au GRD</w:t>
      </w:r>
      <w:r w:rsidRPr="00FA158B">
        <w:t xml:space="preserve">. Afin de faciliter le traitement de la réclamation, il est conseillé au Client d’adresser sa réclamation dans un délai de 20 jours calendaires par lettre recommandée avec avis de réception à compter de la survenance du dommage ou de la date à laquelle il en a eu connaissance. </w:t>
      </w:r>
    </w:p>
    <w:p w14:paraId="1FFCBBDA" w14:textId="77777777" w:rsidR="00F97290" w:rsidRPr="00FA158B" w:rsidRDefault="00F97290" w:rsidP="009C3752">
      <w:r w:rsidRPr="00FA158B">
        <w:t xml:space="preserve">La réclamation doit préciser </w:t>
      </w:r>
      <w:proofErr w:type="gramStart"/>
      <w:r w:rsidRPr="00FA158B">
        <w:t>a</w:t>
      </w:r>
      <w:proofErr w:type="gramEnd"/>
      <w:r w:rsidRPr="00FA158B">
        <w:t xml:space="preserve"> minima les éléments suivants :</w:t>
      </w:r>
    </w:p>
    <w:p w14:paraId="3DBF529E" w14:textId="77777777" w:rsidR="00F97290" w:rsidRPr="00FA158B" w:rsidRDefault="00F97290" w:rsidP="0004412B">
      <w:pPr>
        <w:pStyle w:val="SPuce"/>
      </w:pPr>
      <w:proofErr w:type="gramStart"/>
      <w:r w:rsidRPr="00FA158B">
        <w:t>date</w:t>
      </w:r>
      <w:proofErr w:type="gramEnd"/>
      <w:r w:rsidRPr="00FA158B">
        <w:t>, lieu et, si possible, heure de(s) l'incident(s) supposé(s) être à l'origine des dommages ;</w:t>
      </w:r>
    </w:p>
    <w:p w14:paraId="6FD1489E" w14:textId="77777777" w:rsidR="00F97290" w:rsidRPr="00FA158B" w:rsidRDefault="00F97290" w:rsidP="0004412B">
      <w:pPr>
        <w:pStyle w:val="SPuce"/>
      </w:pPr>
      <w:proofErr w:type="gramStart"/>
      <w:r w:rsidRPr="00FA158B">
        <w:t>nature</w:t>
      </w:r>
      <w:proofErr w:type="gramEnd"/>
      <w:r w:rsidRPr="00FA158B">
        <w:t xml:space="preserve"> et, si possible, montant estimé des dommages directs et certains. </w:t>
      </w:r>
    </w:p>
    <w:p w14:paraId="4ADBD1B4" w14:textId="467200A7" w:rsidR="00F97290" w:rsidRPr="00FA158B" w:rsidRDefault="00F97290" w:rsidP="009C3752">
      <w:r w:rsidRPr="00FA158B">
        <w:t xml:space="preserve">Si aucun incident n'a été constaté aux dates et heures indiquées dans la réclamation, </w:t>
      </w:r>
      <w:r w:rsidR="0076712A">
        <w:t>le GRD</w:t>
      </w:r>
      <w:r w:rsidRPr="00FA158B">
        <w:t xml:space="preserve"> informe qu'aucune suite ne sera donnée à la demande et clôt l'affaire sur la Plate-forme d'échanges</w:t>
      </w:r>
      <w:r w:rsidR="00A978E9">
        <w:t xml:space="preserve"> du GRD</w:t>
      </w:r>
      <w:r w:rsidRPr="00FA158B">
        <w:t xml:space="preserve">. </w:t>
      </w:r>
    </w:p>
    <w:p w14:paraId="6E08CD6A" w14:textId="1E8FF32B" w:rsidR="00F97290" w:rsidRPr="00FA158B" w:rsidRDefault="00F97290" w:rsidP="009C3752">
      <w:r w:rsidRPr="00FA158B">
        <w:t xml:space="preserve">Dans le cas contraire, </w:t>
      </w:r>
      <w:r w:rsidR="0076712A">
        <w:t>le GRD</w:t>
      </w:r>
      <w:r w:rsidRPr="00FA158B">
        <w:t xml:space="preserve"> démarre la phase d'instruction de la demande d'indemnisation.</w:t>
      </w:r>
    </w:p>
    <w:p w14:paraId="62BD5258" w14:textId="13706CB3" w:rsidR="00F97290" w:rsidRPr="00FA158B" w:rsidRDefault="00F97290" w:rsidP="009C3752">
      <w:r w:rsidRPr="00FA158B">
        <w:t xml:space="preserve">Dès que l’incident est confirmé par </w:t>
      </w:r>
      <w:r w:rsidR="0076712A">
        <w:t>le GRD</w:t>
      </w:r>
      <w:r w:rsidRPr="00FA158B">
        <w:t>, le Client doit lui transmettre, le cas échéant via son Fournisseur un dossier démontrant, à l’aide de toutes pièces et documents nécessaires l’existence de son droit à réparation. Ce dossier contient notamment :</w:t>
      </w:r>
    </w:p>
    <w:p w14:paraId="140CD71C" w14:textId="77777777" w:rsidR="00F97290" w:rsidRPr="00FA158B" w:rsidRDefault="00F97290" w:rsidP="0004412B">
      <w:pPr>
        <w:pStyle w:val="SPuce"/>
      </w:pPr>
      <w:proofErr w:type="gramStart"/>
      <w:r w:rsidRPr="00FA158B">
        <w:t>le</w:t>
      </w:r>
      <w:proofErr w:type="gramEnd"/>
      <w:r w:rsidRPr="00FA158B">
        <w:t xml:space="preserve"> fondement de sa demande ;</w:t>
      </w:r>
    </w:p>
    <w:p w14:paraId="4BA4F82E" w14:textId="77777777" w:rsidR="00F97290" w:rsidRPr="00FA158B" w:rsidRDefault="00F97290" w:rsidP="0004412B">
      <w:pPr>
        <w:pStyle w:val="SPuce"/>
      </w:pPr>
      <w:proofErr w:type="gramStart"/>
      <w:r w:rsidRPr="00FA158B">
        <w:t>l’existence</w:t>
      </w:r>
      <w:proofErr w:type="gramEnd"/>
      <w:r w:rsidRPr="00FA158B">
        <w:t xml:space="preserve"> et l’évaluation précise des dommages directs et certains (poste par poste) ;</w:t>
      </w:r>
    </w:p>
    <w:p w14:paraId="12D1E098" w14:textId="77777777" w:rsidR="00F97290" w:rsidRPr="00FA158B" w:rsidRDefault="00F97290" w:rsidP="0004412B">
      <w:pPr>
        <w:pStyle w:val="SPuce"/>
      </w:pPr>
      <w:proofErr w:type="gramStart"/>
      <w:r w:rsidRPr="00FA158B">
        <w:t>la</w:t>
      </w:r>
      <w:proofErr w:type="gramEnd"/>
      <w:r w:rsidRPr="00FA158B">
        <w:t xml:space="preserve"> preuve d’un lien de causalité entre l’incident et le dommage occasionné.</w:t>
      </w:r>
    </w:p>
    <w:p w14:paraId="18A1DF91" w14:textId="5B06CBB8" w:rsidR="00F97290" w:rsidRPr="00FA158B" w:rsidRDefault="007A4272" w:rsidP="009C3752">
      <w:r>
        <w:t>L</w:t>
      </w:r>
      <w:r w:rsidR="0076712A">
        <w:t>e GRD</w:t>
      </w:r>
      <w:r w:rsidR="00F97290" w:rsidRPr="00FA158B">
        <w:t xml:space="preserve"> fait part de sa réponse, dans les conditions précisées au </w:t>
      </w:r>
      <w:r w:rsidR="00983D6B" w:rsidRPr="00FA158B">
        <w:fldChar w:fldCharType="begin"/>
      </w:r>
      <w:r w:rsidR="00983D6B" w:rsidRPr="00FA158B">
        <w:instrText xml:space="preserve"> REF _Ref416860191 \r \h  \* MERGEFORMAT </w:instrText>
      </w:r>
      <w:r w:rsidR="00983D6B" w:rsidRPr="00FA158B">
        <w:fldChar w:fldCharType="separate"/>
      </w:r>
      <w:r w:rsidR="005E7E99">
        <w:t>9.1.2.1</w:t>
      </w:r>
      <w:r w:rsidR="00983D6B" w:rsidRPr="00FA158B">
        <w:fldChar w:fldCharType="end"/>
      </w:r>
      <w:r w:rsidR="00F97290" w:rsidRPr="00FA158B">
        <w:t xml:space="preserve">, sous la forme : </w:t>
      </w:r>
    </w:p>
    <w:p w14:paraId="150A87EF" w14:textId="77777777" w:rsidR="00F97290" w:rsidRPr="00FA158B" w:rsidRDefault="00F97290" w:rsidP="0004412B">
      <w:pPr>
        <w:pStyle w:val="SPuce"/>
      </w:pPr>
      <w:proofErr w:type="gramStart"/>
      <w:r w:rsidRPr="00FA158B">
        <w:t>soit</w:t>
      </w:r>
      <w:proofErr w:type="gramEnd"/>
      <w:r w:rsidRPr="00FA158B">
        <w:t xml:space="preserve"> d'un accord sur le principe d'une indemnisation;</w:t>
      </w:r>
    </w:p>
    <w:p w14:paraId="500D8F86" w14:textId="77777777" w:rsidR="00F97290" w:rsidRPr="00FA158B" w:rsidRDefault="00F97290" w:rsidP="0004412B">
      <w:pPr>
        <w:pStyle w:val="SPuce"/>
      </w:pPr>
      <w:proofErr w:type="gramStart"/>
      <w:r w:rsidRPr="00FA158B">
        <w:t>soit</w:t>
      </w:r>
      <w:proofErr w:type="gramEnd"/>
      <w:r w:rsidRPr="00FA158B">
        <w:t xml:space="preserve"> d'un refus sur le principe d'une indemnisation.</w:t>
      </w:r>
    </w:p>
    <w:p w14:paraId="3347EE42" w14:textId="2EC230A1" w:rsidR="00F97290" w:rsidRPr="00FA158B" w:rsidRDefault="00F97290" w:rsidP="009C3752">
      <w:r w:rsidRPr="00FA158B">
        <w:t xml:space="preserve">En cas d’accord sur le principe d’une indemnisation, </w:t>
      </w:r>
      <w:r w:rsidR="0076712A">
        <w:t>le GRD</w:t>
      </w:r>
      <w:r w:rsidRPr="00FA158B">
        <w:t xml:space="preserve"> communique son offre d'indemnisation d'une part au Fournisseur, sur la Plate-forme d'échanges</w:t>
      </w:r>
      <w:r w:rsidR="005919FA" w:rsidRPr="00FA158B">
        <w:t xml:space="preserve"> </w:t>
      </w:r>
      <w:r w:rsidR="00A978E9">
        <w:t>du GRD</w:t>
      </w:r>
      <w:r w:rsidRPr="00FA158B">
        <w:t>, d'autre part au Client, par courrier.</w:t>
      </w:r>
    </w:p>
    <w:p w14:paraId="698C2700" w14:textId="6AD061B5" w:rsidR="00F97290" w:rsidRPr="00FA158B" w:rsidRDefault="00F97290" w:rsidP="009C3752">
      <w:r w:rsidRPr="00FA158B">
        <w:t xml:space="preserve">En cas d'accord du Client sur le montant de cette offre d'indemnisation, </w:t>
      </w:r>
      <w:r w:rsidR="0076712A">
        <w:t>le GRD</w:t>
      </w:r>
      <w:r w:rsidRPr="00FA158B">
        <w:t xml:space="preserve"> ou son assureur verse au Client le montant de l'indemnisation convenu dans un délai de trente jours calendaires à compter de l'accord du Client. </w:t>
      </w:r>
    </w:p>
    <w:p w14:paraId="40C120B6" w14:textId="213058D6" w:rsidR="00F97290" w:rsidRPr="00FA158B" w:rsidRDefault="00F97290" w:rsidP="009C3752">
      <w:r w:rsidRPr="008171E3">
        <w:t>En cas de refus d’indemnisation ou de désaccord sur le montant de l'indemnisation, le Client peut</w:t>
      </w:r>
      <w:r w:rsidR="00A978E9" w:rsidRPr="008171E3">
        <w:rPr>
          <w:color w:val="FF0000"/>
        </w:rPr>
        <w:t xml:space="preserve"> </w:t>
      </w:r>
      <w:r w:rsidR="00805118" w:rsidRPr="008171E3">
        <w:t xml:space="preserve">demander au GRD, via le Fournisseur, d’organiser ou </w:t>
      </w:r>
      <w:r w:rsidR="00A978E9" w:rsidRPr="008171E3">
        <w:t xml:space="preserve">organiser lui-même </w:t>
      </w:r>
      <w:r w:rsidRPr="008171E3">
        <w:t>une expertise amiable.</w:t>
      </w:r>
      <w:r w:rsidRPr="00FA158B">
        <w:t xml:space="preserve"> </w:t>
      </w:r>
    </w:p>
    <w:p w14:paraId="4C10CDAB" w14:textId="77777777" w:rsidR="00F97290" w:rsidRPr="00FA158B" w:rsidRDefault="00F97290" w:rsidP="009C3752">
      <w:r w:rsidRPr="00FA158B">
        <w:lastRenderedPageBreak/>
        <w:t>A défaut d’accord à l’issue de l’expertise, le Client peut saisir le tribunal compétent.</w:t>
      </w:r>
    </w:p>
    <w:p w14:paraId="3BAEF402" w14:textId="77777777" w:rsidR="00F97290" w:rsidRPr="00FA158B" w:rsidRDefault="00F97290" w:rsidP="000C0CCD">
      <w:pPr>
        <w:pStyle w:val="Titre4"/>
        <w:rPr>
          <w:snapToGrid w:val="0"/>
        </w:rPr>
      </w:pPr>
      <w:r w:rsidRPr="00FA158B">
        <w:rPr>
          <w:snapToGrid w:val="0"/>
        </w:rPr>
        <w:t>Recours</w:t>
      </w:r>
    </w:p>
    <w:p w14:paraId="41D3D73B" w14:textId="5747C7CB" w:rsidR="00F97290" w:rsidRPr="00FA158B" w:rsidRDefault="00F97290" w:rsidP="009C3752">
      <w:r w:rsidRPr="00FA158B">
        <w:t xml:space="preserve">En cas de litige sur l‘interprétation et/ou l’exécution des dispositions de la présente annexe, le Client peut saisir, par l’intermédiaire de son Fournisseur, les services compétents </w:t>
      </w:r>
      <w:r w:rsidR="0076712A">
        <w:t>du GRD</w:t>
      </w:r>
      <w:r w:rsidRPr="00FA158B">
        <w:t xml:space="preserve"> en vue d’un examen de sa demande.</w:t>
      </w:r>
    </w:p>
    <w:p w14:paraId="76F4B87D" w14:textId="77C893BB" w:rsidR="00F97290" w:rsidRPr="00FA158B" w:rsidRDefault="00F97290" w:rsidP="009C3752">
      <w:r w:rsidRPr="00FA158B">
        <w:t xml:space="preserve">Les coordonnées desdits services sont disponibles sur simple demande auprès </w:t>
      </w:r>
      <w:r w:rsidR="0076712A">
        <w:t>du GRD</w:t>
      </w:r>
      <w:r w:rsidRPr="00FA158B">
        <w:t>.</w:t>
      </w:r>
    </w:p>
    <w:p w14:paraId="25568D3F" w14:textId="77777777" w:rsidR="00F97290" w:rsidRPr="00FA158B" w:rsidRDefault="00F97290" w:rsidP="009C3752">
      <w:r w:rsidRPr="00FA158B">
        <w:t xml:space="preserve">Le Client peut également soumettre le différend devant la juridiction compétente ou le </w:t>
      </w:r>
      <w:proofErr w:type="spellStart"/>
      <w:r w:rsidRPr="00FA158B">
        <w:t>CoRDiS</w:t>
      </w:r>
      <w:proofErr w:type="spellEnd"/>
      <w:r w:rsidRPr="00FA158B">
        <w:t>.</w:t>
      </w:r>
    </w:p>
    <w:p w14:paraId="04756ADA" w14:textId="64D86232" w:rsidR="00F97290" w:rsidRPr="00FA158B" w:rsidRDefault="00F97290" w:rsidP="009C3752">
      <w:pPr>
        <w:pStyle w:val="Titre2"/>
      </w:pPr>
      <w:bookmarkStart w:id="346" w:name="_Toc165044655"/>
      <w:bookmarkStart w:id="347" w:name="_Toc165044656"/>
      <w:bookmarkStart w:id="348" w:name="_Toc165044658"/>
      <w:bookmarkStart w:id="349" w:name="_Toc165044660"/>
      <w:bookmarkStart w:id="350" w:name="_Toc165044661"/>
      <w:bookmarkStart w:id="351" w:name="_Toc165044662"/>
      <w:bookmarkStart w:id="352" w:name="_Toc74038122"/>
      <w:bookmarkStart w:id="353" w:name="_Toc472522900"/>
      <w:bookmarkStart w:id="354" w:name="_Toc21422472"/>
      <w:bookmarkEnd w:id="346"/>
      <w:bookmarkEnd w:id="347"/>
      <w:bookmarkEnd w:id="348"/>
      <w:bookmarkEnd w:id="349"/>
      <w:bookmarkEnd w:id="350"/>
      <w:bookmarkEnd w:id="351"/>
      <w:r w:rsidRPr="00FA158B">
        <w:t xml:space="preserve">Responsabilité du Client vis-à-vis </w:t>
      </w:r>
      <w:bookmarkEnd w:id="352"/>
      <w:bookmarkEnd w:id="353"/>
      <w:r w:rsidR="0076712A">
        <w:t>du GRD</w:t>
      </w:r>
      <w:bookmarkEnd w:id="354"/>
    </w:p>
    <w:p w14:paraId="2790F32E" w14:textId="5C3BFC57" w:rsidR="00F97290" w:rsidRPr="00FA158B" w:rsidRDefault="00F97290" w:rsidP="009C3752">
      <w:r w:rsidRPr="00FA158B">
        <w:t xml:space="preserve">Le Client est directement responsable vis-à-vis </w:t>
      </w:r>
      <w:r w:rsidR="0076712A">
        <w:t>du GRD</w:t>
      </w:r>
      <w:r w:rsidRPr="00FA158B">
        <w:t xml:space="preserve"> en cas de non-respect des obligations mises à sa charge aux termes du contrat GRD-F.</w:t>
      </w:r>
    </w:p>
    <w:p w14:paraId="7ECDF836" w14:textId="044C9031" w:rsidR="00F97290" w:rsidRPr="00FA158B" w:rsidRDefault="00F97290" w:rsidP="009C3752">
      <w:r w:rsidRPr="00FA158B">
        <w:t xml:space="preserve">L’existence de groupes de secours, installés comme il est prévu à l’article </w:t>
      </w:r>
      <w:r w:rsidR="00983D6B" w:rsidRPr="00FA158B">
        <w:fldChar w:fldCharType="begin"/>
      </w:r>
      <w:r w:rsidR="00983D6B" w:rsidRPr="00FA158B">
        <w:instrText xml:space="preserve"> REF _Ref148431626 \r \h  \* MERGEFORMAT </w:instrText>
      </w:r>
      <w:r w:rsidR="00983D6B" w:rsidRPr="00FA158B">
        <w:fldChar w:fldCharType="separate"/>
      </w:r>
      <w:r w:rsidR="005E7E99">
        <w:t>2.3.2</w:t>
      </w:r>
      <w:r w:rsidR="00983D6B" w:rsidRPr="00FA158B">
        <w:fldChar w:fldCharType="end"/>
      </w:r>
      <w:r w:rsidRPr="00FA158B">
        <w:t xml:space="preserve"> des présentes dispositions générales ne modifie en rien les droits et obligations du Client et </w:t>
      </w:r>
      <w:r w:rsidR="0076712A">
        <w:t>du GRD</w:t>
      </w:r>
      <w:r w:rsidRPr="00FA158B">
        <w:t xml:space="preserve"> résultant d</w:t>
      </w:r>
      <w:r w:rsidR="00A978E9">
        <w:t>es dispositions des articles ci-</w:t>
      </w:r>
      <w:r w:rsidRPr="00FA158B">
        <w:t>dessous.</w:t>
      </w:r>
    </w:p>
    <w:p w14:paraId="37ED610B" w14:textId="425FF99A" w:rsidR="00F97290" w:rsidRPr="00FA158B" w:rsidRDefault="00F97290" w:rsidP="009C3752">
      <w:r w:rsidRPr="00FA158B">
        <w:t xml:space="preserve">En cas de préjudice subi par </w:t>
      </w:r>
      <w:r w:rsidR="0076712A">
        <w:t>le GRD</w:t>
      </w:r>
      <w:r w:rsidRPr="00FA158B">
        <w:t>, celle-ci engage toute procédure amiable ou tout recours juridictionnel contre le Client à l’origine de ce préjudice. Elle en informe le Fournisseur.</w:t>
      </w:r>
    </w:p>
    <w:p w14:paraId="28B0BB43" w14:textId="76F7616F" w:rsidR="00F97290" w:rsidRPr="00FA158B" w:rsidRDefault="00F97290" w:rsidP="009C3752">
      <w:r w:rsidRPr="00FA158B">
        <w:t xml:space="preserve">Le Fournisseur s’engage à communiquer sur simple demande </w:t>
      </w:r>
      <w:r w:rsidR="0076712A">
        <w:t>au GRD</w:t>
      </w:r>
      <w:r w:rsidRPr="00FA158B">
        <w:t xml:space="preserve"> le Contrat Unique conclu avec le Client. Toutefois, le Fournisseur se réserve le droit de masquer les dispositions du Contrat Unique ne concernant pas l’accès au réseau.</w:t>
      </w:r>
    </w:p>
    <w:p w14:paraId="1F0CD222" w14:textId="77777777" w:rsidR="00F97290" w:rsidRPr="00FA158B" w:rsidRDefault="00F97290" w:rsidP="009C3752">
      <w:r w:rsidRPr="00FA158B">
        <w:t>Il est expressément convenu que le Fournisseur ne peut être tenu pour responsable de la mauvaise exécution ou la non-exécution par le Client de ses obligations, sauf si, par sa faute, il y a contribué.</w:t>
      </w:r>
    </w:p>
    <w:p w14:paraId="49E61F31" w14:textId="77777777" w:rsidR="00F97290" w:rsidRPr="00FA158B" w:rsidRDefault="00F97290" w:rsidP="009C3752">
      <w:pPr>
        <w:pStyle w:val="Titre2"/>
      </w:pPr>
      <w:bookmarkStart w:id="355" w:name="_Toc472522901"/>
      <w:bookmarkStart w:id="356" w:name="_Toc21422473"/>
      <w:r w:rsidRPr="00FA158B">
        <w:t>Responsabilité en matière de qualité et de continuité</w:t>
      </w:r>
      <w:bookmarkEnd w:id="355"/>
      <w:bookmarkEnd w:id="356"/>
    </w:p>
    <w:p w14:paraId="1C478786" w14:textId="0B61CD06" w:rsidR="00F97290" w:rsidRPr="00FA158B" w:rsidRDefault="00F97290" w:rsidP="000C0CCD">
      <w:pPr>
        <w:pStyle w:val="Titre3"/>
      </w:pPr>
      <w:bookmarkStart w:id="357" w:name="_Toc21422474"/>
      <w:r w:rsidRPr="00FA158B">
        <w:t xml:space="preserve">Régime de responsabilité applicable </w:t>
      </w:r>
      <w:r w:rsidR="0076712A">
        <w:t>au GRD</w:t>
      </w:r>
      <w:bookmarkEnd w:id="357"/>
    </w:p>
    <w:p w14:paraId="7F26E8A8" w14:textId="5AE87D92" w:rsidR="00F97290" w:rsidRPr="00FA158B" w:rsidRDefault="005D0DFA" w:rsidP="009C3752">
      <w:r>
        <w:t>L</w:t>
      </w:r>
      <w:r w:rsidR="0076712A">
        <w:t>e GRD</w:t>
      </w:r>
      <w:r w:rsidR="00F97290" w:rsidRPr="00FA158B">
        <w:t xml:space="preserve"> est tenu à une obligation de résultats dans les cas limitativement énumérés ci-dessous : </w:t>
      </w:r>
    </w:p>
    <w:p w14:paraId="12B87217" w14:textId="77777777" w:rsidR="00F97290" w:rsidRPr="00FA158B" w:rsidRDefault="00F97290" w:rsidP="0004412B">
      <w:pPr>
        <w:pStyle w:val="SPuce"/>
      </w:pPr>
      <w:proofErr w:type="gramStart"/>
      <w:r w:rsidRPr="00FA158B">
        <w:t>engagements</w:t>
      </w:r>
      <w:proofErr w:type="gramEnd"/>
      <w:r w:rsidRPr="00FA158B">
        <w:t xml:space="preserve"> sur la continuité dans le cadre des travaux sur le Réseau, visés à l'article </w:t>
      </w:r>
      <w:r w:rsidR="00983D6B" w:rsidRPr="00FA158B">
        <w:fldChar w:fldCharType="begin"/>
      </w:r>
      <w:r w:rsidR="00983D6B" w:rsidRPr="00FA158B">
        <w:instrText xml:space="preserve"> REF _Ref143933141 \r \h  \* MERGEFORMAT </w:instrText>
      </w:r>
      <w:r w:rsidR="00983D6B" w:rsidRPr="00FA158B">
        <w:fldChar w:fldCharType="separate"/>
      </w:r>
      <w:r w:rsidR="005E7E99">
        <w:t>5.1.1.1</w:t>
      </w:r>
      <w:r w:rsidR="00983D6B" w:rsidRPr="00FA158B">
        <w:fldChar w:fldCharType="end"/>
      </w:r>
      <w:r w:rsidRPr="00FA158B">
        <w:t xml:space="preserve"> des présentes dispositions générales ;</w:t>
      </w:r>
    </w:p>
    <w:p w14:paraId="48FD95FA" w14:textId="266570CA" w:rsidR="00F97290" w:rsidRPr="00FA158B" w:rsidRDefault="00F97290" w:rsidP="00A978E9">
      <w:pPr>
        <w:pStyle w:val="SPuce"/>
      </w:pPr>
      <w:proofErr w:type="gramStart"/>
      <w:r w:rsidRPr="00FA158B">
        <w:t>engagements</w:t>
      </w:r>
      <w:proofErr w:type="gramEnd"/>
      <w:r w:rsidRPr="00FA158B">
        <w:t xml:space="preserve"> standard sur la continuité hors travaux, visés à l'article </w:t>
      </w:r>
      <w:r w:rsidR="00983D6B" w:rsidRPr="00FA158B">
        <w:fldChar w:fldCharType="begin"/>
      </w:r>
      <w:r w:rsidR="00983D6B" w:rsidRPr="00FA158B">
        <w:instrText xml:space="preserve"> REF _Ref143933188 \r \h  \* MERGEFORMAT </w:instrText>
      </w:r>
      <w:r w:rsidR="00983D6B" w:rsidRPr="00FA158B">
        <w:fldChar w:fldCharType="separate"/>
      </w:r>
      <w:r w:rsidR="005E7E99">
        <w:t>5.1.2.1</w:t>
      </w:r>
      <w:r w:rsidR="00983D6B" w:rsidRPr="00FA158B">
        <w:fldChar w:fldCharType="end"/>
      </w:r>
      <w:r w:rsidRPr="00FA158B">
        <w:t xml:space="preserve"> des présentes dispositions générales </w:t>
      </w:r>
    </w:p>
    <w:p w14:paraId="436F6572" w14:textId="12F296A0" w:rsidR="00F97290" w:rsidRPr="00FA158B" w:rsidRDefault="00F97290" w:rsidP="0004412B">
      <w:pPr>
        <w:pStyle w:val="SPuce"/>
      </w:pPr>
      <w:proofErr w:type="gramStart"/>
      <w:r w:rsidRPr="00FA158B">
        <w:t>engagements</w:t>
      </w:r>
      <w:proofErr w:type="gramEnd"/>
      <w:r w:rsidRPr="00FA158B">
        <w:t xml:space="preserve"> standard sur la qualité de l'onde, visés à l'article </w:t>
      </w:r>
      <w:r w:rsidR="00983D6B" w:rsidRPr="00FA158B">
        <w:fldChar w:fldCharType="begin"/>
      </w:r>
      <w:r w:rsidR="00983D6B" w:rsidRPr="00FA158B">
        <w:instrText xml:space="preserve"> REF _Ref148431872 \r \h  \* MERGEFORMAT </w:instrText>
      </w:r>
      <w:r w:rsidR="00983D6B" w:rsidRPr="00FA158B">
        <w:fldChar w:fldCharType="separate"/>
      </w:r>
      <w:r w:rsidR="005E7E99">
        <w:t>5.1.3.1</w:t>
      </w:r>
      <w:r w:rsidR="00983D6B" w:rsidRPr="00FA158B">
        <w:fldChar w:fldCharType="end"/>
      </w:r>
      <w:r w:rsidRPr="00FA158B">
        <w:t xml:space="preserve"> des présentes dispositions générales </w:t>
      </w:r>
    </w:p>
    <w:p w14:paraId="2393A726" w14:textId="77777777" w:rsidR="00F97290" w:rsidRPr="00FA158B" w:rsidRDefault="00F97290" w:rsidP="009C3752">
      <w:r w:rsidRPr="00FA158B">
        <w:t xml:space="preserve">Dans chacun de ces cas, l'engagement porte sur un ou des seuils à ne pas dépasser. </w:t>
      </w:r>
    </w:p>
    <w:p w14:paraId="72802362" w14:textId="435B50C5" w:rsidR="00F97290" w:rsidRPr="00FA158B" w:rsidRDefault="00F97290" w:rsidP="009C3752">
      <w:r w:rsidRPr="00FA158B">
        <w:t xml:space="preserve">Si un ou plusieurs de ces seuils sont dépassés, </w:t>
      </w:r>
      <w:r w:rsidR="0076712A">
        <w:t>le GRD</w:t>
      </w:r>
      <w:r w:rsidRPr="00FA158B">
        <w:t xml:space="preserve"> est responsable des dommages directs et certains qu'elle cause au Client. Cette responsabilité est toutefois susceptible d'être atténuée ou écartée si </w:t>
      </w:r>
      <w:r w:rsidR="0076712A">
        <w:t>le GRD</w:t>
      </w:r>
      <w:r w:rsidRPr="00FA158B">
        <w:t xml:space="preserve"> apporte la preuve d'une faute ou d’une négligence du Client.</w:t>
      </w:r>
    </w:p>
    <w:p w14:paraId="38DA6ADA" w14:textId="61727F9F" w:rsidR="00F97290" w:rsidRPr="00FA158B" w:rsidRDefault="00F97290" w:rsidP="009C3752">
      <w:r w:rsidRPr="00FA158B">
        <w:t xml:space="preserve">Tant que ces seuils ne sont pas dépassés, </w:t>
      </w:r>
      <w:r w:rsidR="0076712A">
        <w:t>le GRD</w:t>
      </w:r>
      <w:r w:rsidRPr="00FA158B">
        <w:t xml:space="preserve"> est tenu à une simple obligation de moyens.</w:t>
      </w:r>
    </w:p>
    <w:p w14:paraId="2E41F79A" w14:textId="77777777" w:rsidR="00F97290" w:rsidRPr="00FA158B" w:rsidRDefault="00F97290" w:rsidP="000C0CCD">
      <w:pPr>
        <w:pStyle w:val="Titre3"/>
      </w:pPr>
      <w:bookmarkStart w:id="358" w:name="_Ref472522309"/>
      <w:bookmarkStart w:id="359" w:name="_Toc21422475"/>
      <w:r w:rsidRPr="00FA158B">
        <w:t>Régime de responsabilité applicable au Client</w:t>
      </w:r>
      <w:bookmarkEnd w:id="358"/>
      <w:bookmarkEnd w:id="359"/>
    </w:p>
    <w:p w14:paraId="33C49095" w14:textId="421D2647" w:rsidR="00F97290" w:rsidRPr="00FA158B" w:rsidRDefault="00F97290" w:rsidP="009C3752">
      <w:r w:rsidRPr="00FA158B">
        <w:t xml:space="preserve">Le Client est responsable des dommages directs et certains qu'il cause </w:t>
      </w:r>
      <w:r w:rsidR="0076712A">
        <w:t>au GRD</w:t>
      </w:r>
      <w:r w:rsidRPr="00FA158B">
        <w:t xml:space="preserve">, notamment en cas de non-respect de ses engagements visés à l'article </w:t>
      </w:r>
      <w:r w:rsidR="00983D6B" w:rsidRPr="00FA158B">
        <w:fldChar w:fldCharType="begin"/>
      </w:r>
      <w:r w:rsidR="00983D6B" w:rsidRPr="00FA158B">
        <w:instrText xml:space="preserve"> REF _Ref58223059 \r \h  \* MERGEFORMAT </w:instrText>
      </w:r>
      <w:r w:rsidR="00983D6B" w:rsidRPr="00FA158B">
        <w:fldChar w:fldCharType="separate"/>
      </w:r>
      <w:r w:rsidR="005E7E99">
        <w:t>5.2</w:t>
      </w:r>
      <w:r w:rsidR="00983D6B" w:rsidRPr="00FA158B">
        <w:fldChar w:fldCharType="end"/>
      </w:r>
      <w:r w:rsidRPr="00FA158B">
        <w:t xml:space="preserve"> des présentes dispositions générales.</w:t>
      </w:r>
    </w:p>
    <w:p w14:paraId="16EB8277" w14:textId="73525479" w:rsidR="00F97290" w:rsidRPr="00FA158B" w:rsidRDefault="00F97290" w:rsidP="003864D6">
      <w:r w:rsidRPr="00FA158B">
        <w:t xml:space="preserve">Cette responsabilité est toutefois susceptible d'être atténuée si le Client apporte la preuve d'une faute ou d'une négligence </w:t>
      </w:r>
      <w:r w:rsidR="0076712A">
        <w:t>du GRD</w:t>
      </w:r>
      <w:r w:rsidRPr="00FA158B">
        <w:t>.</w:t>
      </w:r>
    </w:p>
    <w:p w14:paraId="63F8DD01" w14:textId="77777777" w:rsidR="00F97290" w:rsidRPr="00FA158B" w:rsidRDefault="00F97290" w:rsidP="009C3752">
      <w:pPr>
        <w:pStyle w:val="Titre2"/>
      </w:pPr>
      <w:bookmarkStart w:id="360" w:name="_Toc74038123"/>
      <w:bookmarkStart w:id="361" w:name="_Toc472522902"/>
      <w:bookmarkStart w:id="362" w:name="_Toc21422476"/>
      <w:r w:rsidRPr="00FA158B">
        <w:lastRenderedPageBreak/>
        <w:t>Régime perturbé et force majeure</w:t>
      </w:r>
      <w:bookmarkEnd w:id="360"/>
      <w:bookmarkEnd w:id="361"/>
      <w:bookmarkEnd w:id="362"/>
    </w:p>
    <w:p w14:paraId="5D435E08" w14:textId="77777777" w:rsidR="00F97290" w:rsidRPr="00FA158B" w:rsidRDefault="00F97290" w:rsidP="000C0CCD">
      <w:pPr>
        <w:pStyle w:val="Titre3"/>
      </w:pPr>
      <w:bookmarkStart w:id="363" w:name="_Toc21422477"/>
      <w:r w:rsidRPr="00FA158B">
        <w:t>Définition</w:t>
      </w:r>
      <w:bookmarkEnd w:id="363"/>
    </w:p>
    <w:p w14:paraId="7C7B3D9B" w14:textId="6655817F" w:rsidR="00F97290" w:rsidRPr="00FA158B" w:rsidRDefault="00F97290" w:rsidP="009C3752">
      <w:r w:rsidRPr="00FA158B">
        <w:t>Un événement de force majeure désigne tout événement</w:t>
      </w:r>
      <w:r w:rsidR="00A978E9">
        <w:t xml:space="preserve"> </w:t>
      </w:r>
      <w:r w:rsidR="00A978E9" w:rsidRPr="00A978E9">
        <w:t>échappant au contrôle du débiteur, qui ne pouvait être raisonnablement prévu lors de la conclusion du contrat et dont les effets ne peuvent être évités par des mesures appropriées</w:t>
      </w:r>
      <w:r w:rsidRPr="00FA158B">
        <w:t xml:space="preserve"> </w:t>
      </w:r>
      <w:r w:rsidR="00A978E9">
        <w:t xml:space="preserve">empêchant </w:t>
      </w:r>
      <w:r w:rsidRPr="00FA158B">
        <w:t xml:space="preserve">l’exécution de </w:t>
      </w:r>
      <w:r w:rsidR="00EA79D7">
        <w:t xml:space="preserve">de son obligation, </w:t>
      </w:r>
      <w:r w:rsidRPr="00FA158B">
        <w:t>mentionnée dans les présentes dispositions générales</w:t>
      </w:r>
      <w:r w:rsidR="00EA79D7">
        <w:t>, par le débiteur</w:t>
      </w:r>
      <w:r w:rsidRPr="00FA158B">
        <w:t>.</w:t>
      </w:r>
    </w:p>
    <w:p w14:paraId="1EF7684F" w14:textId="3EFF3563" w:rsidR="00F97290" w:rsidRPr="00FA158B" w:rsidRDefault="00F97290" w:rsidP="009C3752">
      <w:r w:rsidRPr="00FA158B">
        <w:t>En outre, en application de l’article D322-1 du code de l’énergie et de l’article 19 du cahier des charges type de concession du réseau public de transport, annexé au décret n°2006-1731,</w:t>
      </w:r>
      <w:r w:rsidR="00A114A2" w:rsidRPr="00FA158B">
        <w:t xml:space="preserve"> </w:t>
      </w:r>
      <w:r w:rsidRPr="00FA158B">
        <w:t xml:space="preserve">il existe des circonstances exceptionnelles, indépendantes de la volonté </w:t>
      </w:r>
      <w:r w:rsidR="0076712A">
        <w:t>du GRD</w:t>
      </w:r>
      <w:r w:rsidRPr="00FA158B">
        <w:t xml:space="preserve"> et non maîtrisables dans l’état des connaissances techniques, qui sont assimilées à des événements de force majeure. Ces circonstances caractérisant le régime perturbé sont les suivantes :</w:t>
      </w:r>
    </w:p>
    <w:p w14:paraId="14696210" w14:textId="77777777" w:rsidR="00F97290" w:rsidRPr="00FA158B" w:rsidRDefault="00F97290" w:rsidP="0004412B">
      <w:pPr>
        <w:pStyle w:val="SPuce"/>
      </w:pPr>
      <w:proofErr w:type="gramStart"/>
      <w:r w:rsidRPr="00FA158B">
        <w:t>les</w:t>
      </w:r>
      <w:proofErr w:type="gramEnd"/>
      <w:r w:rsidRPr="00FA158B">
        <w:t xml:space="preserve"> destructions dues à des actes de guerre, émeutes, pillages, sabotages, attentats ou atteintes délictuelles ;</w:t>
      </w:r>
    </w:p>
    <w:p w14:paraId="29E3BE9B" w14:textId="77777777" w:rsidR="00F97290" w:rsidRPr="00FA158B" w:rsidRDefault="00F97290" w:rsidP="0004412B">
      <w:pPr>
        <w:pStyle w:val="SPuce"/>
      </w:pPr>
      <w:proofErr w:type="gramStart"/>
      <w:r w:rsidRPr="00FA158B">
        <w:t>les</w:t>
      </w:r>
      <w:proofErr w:type="gramEnd"/>
      <w:r w:rsidRPr="00FA158B">
        <w:t xml:space="preserve"> dommages causés par des faits accidentels et non maîtrisables, imputables à des faits irrésistibles et imprévisibles des tiers, tels qu’incendies, explosions ou chutes d'aéronefs ;</w:t>
      </w:r>
    </w:p>
    <w:p w14:paraId="2113FC07" w14:textId="77777777" w:rsidR="00F97290" w:rsidRPr="008171E3" w:rsidRDefault="00F97290" w:rsidP="0004412B">
      <w:pPr>
        <w:pStyle w:val="SPuce"/>
      </w:pPr>
      <w:proofErr w:type="gramStart"/>
      <w:r w:rsidRPr="00FA158B">
        <w:t>les</w:t>
      </w:r>
      <w:proofErr w:type="gramEnd"/>
      <w:r w:rsidRPr="00FA158B">
        <w:t xml:space="preserve"> catastrophes naturelles au sens de la loi n° 82-600 du 13 juillet 1982, c’est à dire des dommages matériels directs ayant pour cause déterminante l’intensité anormale d’un agent naturel, lorsque les mesures habituelles à prendre pour </w:t>
      </w:r>
      <w:r w:rsidRPr="008171E3">
        <w:t>prévenir ces dommages n’ont pu empêcher leur survenance ou n’ont pu être prises ;</w:t>
      </w:r>
    </w:p>
    <w:p w14:paraId="16B86978" w14:textId="3F4B3221" w:rsidR="00F97290" w:rsidRPr="008171E3" w:rsidRDefault="00F97290" w:rsidP="0004412B">
      <w:pPr>
        <w:pStyle w:val="SPuce"/>
      </w:pPr>
      <w:proofErr w:type="gramStart"/>
      <w:r w:rsidRPr="008171E3">
        <w:t>les</w:t>
      </w:r>
      <w:proofErr w:type="gramEnd"/>
      <w:r w:rsidRPr="008171E3">
        <w:t xml:space="preserve"> phénomènes atmosphériques irrésistibles par leur cause et leur ampleur et auxquels les réseaux électriques, et notamment aériens, sont particulièrement vulnérables (ex. : givre, neige collante, tempête), dès que, lors d’une même journée et pour la même cause, au moins</w:t>
      </w:r>
      <w:r w:rsidR="00354D79" w:rsidRPr="008171E3">
        <w:t xml:space="preserve"> 2000 Points de Livraisons</w:t>
      </w:r>
      <w:r w:rsidRPr="008171E3">
        <w:t>, alimentés par le RPT et/ou par les RPD sont privés d’électricité. Cette dernière condition n’est pas exigée en cas de délestages de PDL non prioritaires en application de l’arrêté du 5 juillet 1990, dans le cas où l’alimentation en électricité est de nature à être compromise ;</w:t>
      </w:r>
    </w:p>
    <w:p w14:paraId="3BB2DAAA" w14:textId="6B0A9D4A" w:rsidR="00F97290" w:rsidRPr="00FA158B" w:rsidRDefault="00F97290" w:rsidP="0004412B">
      <w:pPr>
        <w:pStyle w:val="SPuce"/>
      </w:pPr>
      <w:proofErr w:type="gramStart"/>
      <w:r w:rsidRPr="00FA158B">
        <w:t>les</w:t>
      </w:r>
      <w:proofErr w:type="gramEnd"/>
      <w:r w:rsidRPr="00FA158B">
        <w:t xml:space="preserve"> mises hors service d’ouvrages décidées par les pouvoirs publics pour des motifs de sécurité publique ou de police dès lors que cette décision ne résulte pas du comportement ou de l’inaction </w:t>
      </w:r>
      <w:r w:rsidR="0076712A">
        <w:t>du GRD</w:t>
      </w:r>
      <w:r w:rsidRPr="00FA158B">
        <w:t> ;</w:t>
      </w:r>
    </w:p>
    <w:p w14:paraId="577B7CD4" w14:textId="77777777" w:rsidR="00F97290" w:rsidRPr="00FA158B" w:rsidRDefault="00F97290" w:rsidP="0004412B">
      <w:pPr>
        <w:pStyle w:val="SPuce"/>
      </w:pPr>
      <w:proofErr w:type="gramStart"/>
      <w:r w:rsidRPr="00FA158B">
        <w:t>les</w:t>
      </w:r>
      <w:proofErr w:type="gramEnd"/>
      <w:r w:rsidRPr="00FA158B">
        <w:t xml:space="preserve"> délestages organisés par RTE conformément à l'article 12 de l'arrêté du 6 octobre 2006 relatif aux prescriptions techniques de conception et de fonctionnement pour le raccordement au réseau public de transport de l'électricité d'un réseau public de distribution.</w:t>
      </w:r>
    </w:p>
    <w:p w14:paraId="3770BF63" w14:textId="77777777" w:rsidR="00F97290" w:rsidRPr="00FA158B" w:rsidRDefault="00F97290" w:rsidP="000C0CCD">
      <w:pPr>
        <w:pStyle w:val="Titre3"/>
      </w:pPr>
      <w:bookmarkStart w:id="364" w:name="_Toc21422478"/>
      <w:r w:rsidRPr="00FA158B">
        <w:t>Régime juridique</w:t>
      </w:r>
      <w:bookmarkEnd w:id="364"/>
      <w:r w:rsidRPr="00FA158B">
        <w:t xml:space="preserve"> </w:t>
      </w:r>
    </w:p>
    <w:p w14:paraId="7B6B01CB" w14:textId="08C3D166" w:rsidR="00F97290" w:rsidRPr="00FA158B" w:rsidRDefault="00FC2091" w:rsidP="009C3752">
      <w:r>
        <w:t>L</w:t>
      </w:r>
      <w:r w:rsidR="0076712A">
        <w:t>e GRD</w:t>
      </w:r>
      <w:r w:rsidR="00F97290" w:rsidRPr="00FA158B">
        <w:t xml:space="preserve">,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dont l’exécution est rendue impossible,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w:t>
      </w:r>
      <w:r w:rsidR="0076712A">
        <w:t>du GRD</w:t>
      </w:r>
      <w:r w:rsidR="00F97290" w:rsidRPr="00FA158B">
        <w:t>.</w:t>
      </w:r>
    </w:p>
    <w:p w14:paraId="5330B7DD" w14:textId="5B44FCA3" w:rsidR="00F97290" w:rsidRPr="00FA158B" w:rsidRDefault="00F97290" w:rsidP="009C3752">
      <w:r w:rsidRPr="00FA158B">
        <w:t xml:space="preserve">Celui qui désire invoquer l’événement de force majeure informe les deux autres, par tout moyen, dans les meilleurs délais, de la nature de l'événement de force majeure invoqué et sa durée probable. </w:t>
      </w:r>
    </w:p>
    <w:p w14:paraId="105113D4" w14:textId="0E884860" w:rsidR="007C054B" w:rsidRPr="00FA158B" w:rsidRDefault="00F97290" w:rsidP="009C3752">
      <w:r w:rsidRPr="00FA158B">
        <w:t>Celui qui invoque un événement de force majeure a l’obligation de mettre en œuvre tous les moyens dont elle dispose pour en limiter sa portée et sa durée.</w:t>
      </w:r>
    </w:p>
    <w:p w14:paraId="21174B78" w14:textId="77777777" w:rsidR="00F97290" w:rsidRPr="00FA158B" w:rsidRDefault="00F97290" w:rsidP="00DC643C">
      <w:pPr>
        <w:pStyle w:val="Titre1"/>
      </w:pPr>
      <w:bookmarkStart w:id="365" w:name="_Toc472522903"/>
      <w:bookmarkStart w:id="366" w:name="_Toc21422479"/>
      <w:r w:rsidRPr="00FA158B">
        <w:t>Application des présentes dispositions générales</w:t>
      </w:r>
      <w:bookmarkEnd w:id="365"/>
      <w:bookmarkEnd w:id="366"/>
    </w:p>
    <w:p w14:paraId="15B6FC02" w14:textId="77777777" w:rsidR="00F97290" w:rsidRPr="00FA158B" w:rsidRDefault="00F97290" w:rsidP="003864D6">
      <w:pPr>
        <w:pStyle w:val="Titre2"/>
        <w:tabs>
          <w:tab w:val="left" w:pos="993"/>
        </w:tabs>
      </w:pPr>
      <w:bookmarkStart w:id="367" w:name="_Toc472522904"/>
      <w:bookmarkStart w:id="368" w:name="_Toc21422480"/>
      <w:r w:rsidRPr="00FA158B">
        <w:t>Adaptation</w:t>
      </w:r>
      <w:bookmarkEnd w:id="367"/>
      <w:bookmarkEnd w:id="368"/>
    </w:p>
    <w:p w14:paraId="27EEA228" w14:textId="67321C0A" w:rsidR="00F97290" w:rsidRPr="00FA158B" w:rsidRDefault="00F97290" w:rsidP="009C3752">
      <w:r w:rsidRPr="00FA158B">
        <w:t>Dès l’entrée en vigueur de textes législatifs ou réglementaires en relation avec l’objet des présentes dispositions générales (ex : nouvelles dispositions du TURPE), ceux-ci s’appliquent de plein droit, dès lors qu’ils sont d’ordre public</w:t>
      </w:r>
      <w:r w:rsidR="00CA4C4A" w:rsidRPr="00FA158B">
        <w:t>.</w:t>
      </w:r>
      <w:r w:rsidRPr="00FA158B">
        <w:t xml:space="preserve"> </w:t>
      </w:r>
    </w:p>
    <w:p w14:paraId="08CFB2AC" w14:textId="77777777" w:rsidR="00F97290" w:rsidRPr="00FA158B" w:rsidRDefault="00F97290" w:rsidP="009C3752">
      <w:r w:rsidRPr="00FA158B">
        <w:t xml:space="preserve">Par ailleurs, en cas de modification substantielle d’un élément de l’environnement légal ou réglementaire qui ne </w:t>
      </w:r>
      <w:r w:rsidR="00F92A40" w:rsidRPr="00FA158B">
        <w:t>relèverait</w:t>
      </w:r>
      <w:r w:rsidRPr="00FA158B">
        <w:t xml:space="preserve"> pas d’ordre public mais conduirait à revoir tout ou partie des présentes dispositions générales, les modifications sont portées à la connaissance du Client par l’intermédiaire du Fournisseur, conformément à l’article </w:t>
      </w:r>
      <w:r w:rsidR="00983D6B" w:rsidRPr="00FA158B">
        <w:fldChar w:fldCharType="begin"/>
      </w:r>
      <w:r w:rsidR="00983D6B" w:rsidRPr="00FA158B">
        <w:instrText xml:space="preserve"> REF _Ref415242104 \r \h  \* MERGEFORMAT </w:instrText>
      </w:r>
      <w:r w:rsidR="00983D6B" w:rsidRPr="00FA158B">
        <w:fldChar w:fldCharType="separate"/>
      </w:r>
      <w:r w:rsidR="005E7E99">
        <w:t>1.3</w:t>
      </w:r>
      <w:r w:rsidR="00983D6B" w:rsidRPr="00FA158B">
        <w:fldChar w:fldCharType="end"/>
      </w:r>
      <w:r w:rsidRPr="00FA158B">
        <w:t xml:space="preserve"> des présentes dispositions générales.</w:t>
      </w:r>
    </w:p>
    <w:p w14:paraId="230637AB" w14:textId="77777777" w:rsidR="00F97290" w:rsidRPr="00FA158B" w:rsidRDefault="00F97290" w:rsidP="003864D6">
      <w:pPr>
        <w:pStyle w:val="Titre2"/>
        <w:tabs>
          <w:tab w:val="left" w:pos="993"/>
        </w:tabs>
      </w:pPr>
      <w:bookmarkStart w:id="369" w:name="_Suspension_de_l’accès"/>
      <w:bookmarkStart w:id="370" w:name="_Toc472522905"/>
      <w:bookmarkStart w:id="371" w:name="_Toc21422481"/>
      <w:bookmarkEnd w:id="369"/>
      <w:r w:rsidRPr="00FA158B">
        <w:lastRenderedPageBreak/>
        <w:t>Suspension de l’accès au Réseau Public de Distribution à la demande du Fournisseur</w:t>
      </w:r>
      <w:bookmarkEnd w:id="370"/>
      <w:bookmarkEnd w:id="371"/>
    </w:p>
    <w:p w14:paraId="40926407" w14:textId="009CD71B" w:rsidR="00F97290" w:rsidRPr="00FA158B" w:rsidRDefault="00F97290" w:rsidP="009C3752">
      <w:r w:rsidRPr="00FA158B">
        <w:t xml:space="preserve">Dans le respect des textes en vigueur et en particulier des modalités fixées par le cahier des charges de concession de distribution publique d'électricité pour l’information préalable du Client, le Fournisseur a la faculté de faire suspendre par </w:t>
      </w:r>
      <w:r w:rsidR="0076712A">
        <w:t>le GRD</w:t>
      </w:r>
      <w:r w:rsidRPr="00FA158B">
        <w:t xml:space="preserve"> l’accès au Réseau Public de Distribution de Points de Livraison.</w:t>
      </w:r>
    </w:p>
    <w:p w14:paraId="4B143044" w14:textId="1BF4CAC7" w:rsidR="00F97290" w:rsidRPr="00FA158B" w:rsidRDefault="00F97290" w:rsidP="003864D6">
      <w:pPr>
        <w:pStyle w:val="Titre2"/>
        <w:tabs>
          <w:tab w:val="left" w:pos="993"/>
        </w:tabs>
      </w:pPr>
      <w:bookmarkStart w:id="372" w:name="_Ref139705907"/>
      <w:bookmarkStart w:id="373" w:name="_Toc472522906"/>
      <w:bookmarkStart w:id="374" w:name="_Toc21422482"/>
      <w:r w:rsidRPr="00FA158B">
        <w:t xml:space="preserve">Suspension de l’accès au Réseau Public de Distribution à l’initiative </w:t>
      </w:r>
      <w:bookmarkEnd w:id="372"/>
      <w:bookmarkEnd w:id="373"/>
      <w:r w:rsidR="0076712A">
        <w:t>du GRD</w:t>
      </w:r>
      <w:bookmarkEnd w:id="374"/>
    </w:p>
    <w:p w14:paraId="608C84BB" w14:textId="1913EEF7" w:rsidR="00F97290" w:rsidRPr="00FA158B" w:rsidRDefault="00FC2091" w:rsidP="009C3752">
      <w:r>
        <w:t>L</w:t>
      </w:r>
      <w:r w:rsidR="0076712A">
        <w:t>e GRD</w:t>
      </w:r>
      <w:r w:rsidR="00F97290" w:rsidRPr="00FA158B">
        <w:t xml:space="preserve"> peut procéder à la suspension ou refuser l’accès au RPD et d’exécuter les prestations de service qui y sont associées dans les cas suivants :</w:t>
      </w:r>
    </w:p>
    <w:p w14:paraId="09CCE695" w14:textId="77777777" w:rsidR="00F97290" w:rsidRPr="00FA158B" w:rsidRDefault="00F97290" w:rsidP="0004412B">
      <w:pPr>
        <w:pStyle w:val="SPuce"/>
      </w:pPr>
      <w:proofErr w:type="gramStart"/>
      <w:r w:rsidRPr="00FA158B">
        <w:t>appel</w:t>
      </w:r>
      <w:proofErr w:type="gramEnd"/>
      <w:r w:rsidRPr="00FA158B">
        <w:t xml:space="preserve"> de puissance excédant la Puissance Souscrite ou la puissance disponible sur le Réseau, en application de l'article </w:t>
      </w:r>
      <w:r w:rsidR="00983D6B" w:rsidRPr="00FA158B">
        <w:fldChar w:fldCharType="begin"/>
      </w:r>
      <w:r w:rsidR="00983D6B" w:rsidRPr="00FA158B">
        <w:instrText xml:space="preserve"> REF _Ref165111135 \r \h  \* MERGEFORMAT </w:instrText>
      </w:r>
      <w:r w:rsidR="00983D6B" w:rsidRPr="00FA158B">
        <w:fldChar w:fldCharType="separate"/>
      </w:r>
      <w:r w:rsidR="005E7E99">
        <w:t>4.3</w:t>
      </w:r>
      <w:r w:rsidR="00983D6B" w:rsidRPr="00FA158B">
        <w:fldChar w:fldCharType="end"/>
      </w:r>
      <w:r w:rsidRPr="00FA158B">
        <w:t xml:space="preserve"> des présentes dispositions générales ;</w:t>
      </w:r>
    </w:p>
    <w:p w14:paraId="14B6A425" w14:textId="77777777" w:rsidR="00F97290" w:rsidRPr="00FA158B" w:rsidRDefault="00F97290" w:rsidP="0004412B">
      <w:pPr>
        <w:pStyle w:val="SPuce"/>
      </w:pPr>
      <w:proofErr w:type="gramStart"/>
      <w:r w:rsidRPr="00FA158B">
        <w:t>absence</w:t>
      </w:r>
      <w:proofErr w:type="gramEnd"/>
      <w:r w:rsidRPr="00FA158B">
        <w:t xml:space="preserve"> de Contrat Unique ;</w:t>
      </w:r>
    </w:p>
    <w:p w14:paraId="3DC3D3E4" w14:textId="2CC34153" w:rsidR="00F97290" w:rsidRPr="00FA158B" w:rsidRDefault="00F97290" w:rsidP="0004412B">
      <w:pPr>
        <w:pStyle w:val="SPuce"/>
      </w:pPr>
      <w:proofErr w:type="gramStart"/>
      <w:r w:rsidRPr="00FA158B">
        <w:t>refus</w:t>
      </w:r>
      <w:proofErr w:type="gramEnd"/>
      <w:r w:rsidRPr="00FA158B">
        <w:t xml:space="preserve"> du Client de laisser </w:t>
      </w:r>
      <w:r w:rsidR="0076712A">
        <w:t>le GRD</w:t>
      </w:r>
      <w:r w:rsidRPr="00FA158B">
        <w:t xml:space="preserve"> accéder, pour vérification, à ses installations électriques et en particulier au local de comptage ;</w:t>
      </w:r>
    </w:p>
    <w:p w14:paraId="1CA4B15D" w14:textId="59ADE933" w:rsidR="00F97290" w:rsidRPr="00FA158B" w:rsidRDefault="00F97290" w:rsidP="0004412B">
      <w:pPr>
        <w:pStyle w:val="SPuce"/>
      </w:pPr>
      <w:proofErr w:type="gramStart"/>
      <w:r w:rsidRPr="00FA158B">
        <w:t>si</w:t>
      </w:r>
      <w:proofErr w:type="gramEnd"/>
      <w:r w:rsidRPr="00FA158B">
        <w:t xml:space="preserve">, à l'issue de la procédure exposée à l’article </w:t>
      </w:r>
      <w:r w:rsidR="00983D6B" w:rsidRPr="00FA158B">
        <w:fldChar w:fldCharType="begin"/>
      </w:r>
      <w:r w:rsidR="00983D6B" w:rsidRPr="00FA158B">
        <w:instrText xml:space="preserve"> REF _Ref143659986 \r \h  \* MERGEFORMAT </w:instrText>
      </w:r>
      <w:r w:rsidR="00983D6B" w:rsidRPr="00FA158B">
        <w:fldChar w:fldCharType="separate"/>
      </w:r>
      <w:r w:rsidR="005E7E99">
        <w:t>3.1.4</w:t>
      </w:r>
      <w:r w:rsidR="00983D6B" w:rsidRPr="00FA158B">
        <w:fldChar w:fldCharType="end"/>
      </w:r>
      <w:r w:rsidRPr="00FA158B">
        <w:t xml:space="preserve">, le Client persiste à refuser </w:t>
      </w:r>
      <w:r w:rsidR="0076712A">
        <w:t>au GRD</w:t>
      </w:r>
      <w:r w:rsidRPr="00FA158B">
        <w:t xml:space="preserve"> l’accès pour le relevé du Compteur ;</w:t>
      </w:r>
    </w:p>
    <w:p w14:paraId="753506F6" w14:textId="77777777" w:rsidR="00F97290" w:rsidRPr="00FA158B" w:rsidRDefault="00F97290" w:rsidP="0004412B">
      <w:pPr>
        <w:pStyle w:val="SPuce"/>
      </w:pPr>
      <w:proofErr w:type="gramStart"/>
      <w:r w:rsidRPr="00FA158B">
        <w:t>refus</w:t>
      </w:r>
      <w:proofErr w:type="gramEnd"/>
      <w:r w:rsidRPr="00FA158B">
        <w:t xml:space="preserve"> du Client, alors que des éléments de ses installations électriques y compris le Dispositif de comptage, sont défectueux,  de procéder à leurs réparations ou à leurs renouvellements ;</w:t>
      </w:r>
    </w:p>
    <w:p w14:paraId="0E5904D4" w14:textId="77777777" w:rsidR="00F97290" w:rsidRPr="00FA158B" w:rsidRDefault="00F97290" w:rsidP="0004412B">
      <w:pPr>
        <w:pStyle w:val="SPuce"/>
      </w:pPr>
      <w:proofErr w:type="gramStart"/>
      <w:r w:rsidRPr="00FA158B">
        <w:t>si</w:t>
      </w:r>
      <w:proofErr w:type="gramEnd"/>
      <w:r w:rsidRPr="00FA158B">
        <w:t xml:space="preserve"> le </w:t>
      </w:r>
      <w:proofErr w:type="spellStart"/>
      <w:r w:rsidRPr="00FA158B">
        <w:t>CoRDiS</w:t>
      </w:r>
      <w:proofErr w:type="spellEnd"/>
      <w:r w:rsidRPr="00FA158B">
        <w:t xml:space="preserve"> prononce à l’encontre du Client, pour le Site, la sanction d’interdiction temporaire d’accès au Réseau en application de l’article L134-27 du code de l’énergie ;</w:t>
      </w:r>
    </w:p>
    <w:p w14:paraId="081AFD6E" w14:textId="77777777" w:rsidR="00F97290" w:rsidRPr="00FA158B" w:rsidRDefault="00F97290" w:rsidP="0004412B">
      <w:pPr>
        <w:pStyle w:val="SPuce"/>
      </w:pPr>
      <w:proofErr w:type="gramStart"/>
      <w:r w:rsidRPr="00FA158B">
        <w:t>raccordement</w:t>
      </w:r>
      <w:proofErr w:type="gramEnd"/>
      <w:r w:rsidRPr="00FA158B">
        <w:t xml:space="preserve"> non autorisé d’un tiers à l’installation intérieure du Client ;</w:t>
      </w:r>
    </w:p>
    <w:p w14:paraId="0E791239" w14:textId="77777777" w:rsidR="00F97290" w:rsidRPr="00FA158B" w:rsidRDefault="00F97290" w:rsidP="0004412B">
      <w:pPr>
        <w:pStyle w:val="SPuce"/>
      </w:pPr>
      <w:proofErr w:type="gramStart"/>
      <w:r w:rsidRPr="00FA158B">
        <w:t>conformément</w:t>
      </w:r>
      <w:proofErr w:type="gramEnd"/>
      <w:r w:rsidRPr="00FA158B">
        <w:t xml:space="preserve"> aux cahiers des charges de distribution publique d’électricité, dans les cas suivants :</w:t>
      </w:r>
    </w:p>
    <w:p w14:paraId="55BCBD18" w14:textId="77777777" w:rsidR="00F97290" w:rsidRPr="00FA158B" w:rsidRDefault="00F97290" w:rsidP="00CF0D7B">
      <w:pPr>
        <w:pStyle w:val="SPuce"/>
        <w:numPr>
          <w:ilvl w:val="1"/>
          <w:numId w:val="1"/>
        </w:numPr>
      </w:pPr>
      <w:proofErr w:type="gramStart"/>
      <w:r w:rsidRPr="00FA158B">
        <w:t>injonction</w:t>
      </w:r>
      <w:proofErr w:type="gramEnd"/>
      <w:r w:rsidRPr="00FA158B">
        <w:t xml:space="preserve"> émanant de l'Autorité Compétente en matière d'urbanisme ou de police en cas de trouble à l'ordre public,</w:t>
      </w:r>
    </w:p>
    <w:p w14:paraId="44AF17E3" w14:textId="77777777" w:rsidR="00F97290" w:rsidRPr="00FA158B" w:rsidRDefault="00F97290" w:rsidP="00CF0D7B">
      <w:pPr>
        <w:pStyle w:val="SPuce"/>
        <w:numPr>
          <w:ilvl w:val="1"/>
          <w:numId w:val="1"/>
        </w:numPr>
      </w:pPr>
      <w:proofErr w:type="gramStart"/>
      <w:r w:rsidRPr="00FA158B">
        <w:t>non</w:t>
      </w:r>
      <w:proofErr w:type="gramEnd"/>
      <w:r w:rsidRPr="00FA158B">
        <w:t xml:space="preserve"> justification de la conformité des installations à la réglementation et aux normes en vigueur,</w:t>
      </w:r>
    </w:p>
    <w:p w14:paraId="0C3434F6" w14:textId="7FD83C20" w:rsidR="00F97290" w:rsidRPr="00FA158B" w:rsidRDefault="00F97290" w:rsidP="00CF0D7B">
      <w:pPr>
        <w:pStyle w:val="SPuce"/>
        <w:numPr>
          <w:ilvl w:val="1"/>
          <w:numId w:val="1"/>
        </w:numPr>
      </w:pPr>
      <w:proofErr w:type="gramStart"/>
      <w:r w:rsidRPr="00FA158B">
        <w:t>danger</w:t>
      </w:r>
      <w:proofErr w:type="gramEnd"/>
      <w:r w:rsidRPr="00FA158B">
        <w:t xml:space="preserve"> grave et immédiat porté à la connaissance </w:t>
      </w:r>
      <w:r w:rsidR="0076712A">
        <w:t>du GRD</w:t>
      </w:r>
      <w:r w:rsidRPr="00FA158B">
        <w:t>,</w:t>
      </w:r>
    </w:p>
    <w:p w14:paraId="49E07E82" w14:textId="2587A40B" w:rsidR="00F97290" w:rsidRPr="00FA158B" w:rsidRDefault="00F97290" w:rsidP="00CF0D7B">
      <w:pPr>
        <w:pStyle w:val="SPuce"/>
        <w:numPr>
          <w:ilvl w:val="1"/>
          <w:numId w:val="1"/>
        </w:numPr>
      </w:pPr>
      <w:proofErr w:type="gramStart"/>
      <w:r w:rsidRPr="00FA158B">
        <w:t>modification</w:t>
      </w:r>
      <w:proofErr w:type="gramEnd"/>
      <w:r w:rsidRPr="00FA158B">
        <w:t xml:space="preserve">, dégradation ou destruction volontaire des ouvrages et comptages exploités par </w:t>
      </w:r>
      <w:r w:rsidR="0076712A">
        <w:t>le GRD</w:t>
      </w:r>
      <w:r w:rsidRPr="00FA158B">
        <w:t>, quelle qu'en soit la cause,</w:t>
      </w:r>
    </w:p>
    <w:p w14:paraId="44622375" w14:textId="77777777" w:rsidR="00F97290" w:rsidRPr="00FA158B" w:rsidRDefault="00F97290" w:rsidP="00CF0D7B">
      <w:pPr>
        <w:pStyle w:val="SPuce"/>
        <w:numPr>
          <w:ilvl w:val="1"/>
          <w:numId w:val="1"/>
        </w:numPr>
      </w:pPr>
      <w:proofErr w:type="gramStart"/>
      <w:r w:rsidRPr="00FA158B">
        <w:t>trouble</w:t>
      </w:r>
      <w:proofErr w:type="gramEnd"/>
      <w:r w:rsidRPr="00FA158B">
        <w:t xml:space="preserve"> causé par un client ou par ses installations et appareillages, affectant l'exploitation ou la distribution d'énergie,</w:t>
      </w:r>
    </w:p>
    <w:p w14:paraId="03F71E5E" w14:textId="5FACFCC1" w:rsidR="00F97290" w:rsidRPr="00FA158B" w:rsidRDefault="00F97290" w:rsidP="003864D6">
      <w:pPr>
        <w:pStyle w:val="SPuce"/>
        <w:numPr>
          <w:ilvl w:val="1"/>
          <w:numId w:val="1"/>
        </w:numPr>
        <w:spacing w:after="160"/>
        <w:ind w:left="1434" w:hanging="357"/>
      </w:pPr>
      <w:proofErr w:type="gramStart"/>
      <w:r w:rsidRPr="00FA158B">
        <w:t>usage</w:t>
      </w:r>
      <w:proofErr w:type="gramEnd"/>
      <w:r w:rsidRPr="00FA158B">
        <w:t xml:space="preserve"> illicite ou frauduleux de l'énergie, dûment constaté par </w:t>
      </w:r>
      <w:r w:rsidR="0076712A">
        <w:t>le GRD</w:t>
      </w:r>
      <w:r w:rsidRPr="00FA158B">
        <w:t>.</w:t>
      </w:r>
    </w:p>
    <w:p w14:paraId="3A54ADFA" w14:textId="0A697240" w:rsidR="00F97290" w:rsidRPr="00FA158B" w:rsidRDefault="00FC2091" w:rsidP="009C3752">
      <w:r>
        <w:t>L</w:t>
      </w:r>
      <w:r w:rsidR="0076712A">
        <w:t>e GRD</w:t>
      </w:r>
      <w:r w:rsidR="00F97290" w:rsidRPr="00FA158B">
        <w:t xml:space="preserve"> doit à nouveau permettre sans délai l'accès au Réseau Public de Distribution dès que les motifs ayant conduit à la suspension ont pris fin.</w:t>
      </w:r>
    </w:p>
    <w:p w14:paraId="5DA321A4" w14:textId="559F5054" w:rsidR="00F97290" w:rsidRPr="00FA158B" w:rsidRDefault="00F97290" w:rsidP="009C3752">
      <w:bookmarkStart w:id="375" w:name="_Ref143075261"/>
      <w:r w:rsidRPr="00FA158B">
        <w:t xml:space="preserve">La suspension par </w:t>
      </w:r>
      <w:r w:rsidR="0076712A">
        <w:t>le GRD</w:t>
      </w:r>
      <w:r w:rsidRPr="00FA158B">
        <w:t xml:space="preserve"> pour des impératifs de sécurité peut intervenir sans délai. Dans les autres cas, les délais et les modalités de la suspension sont ceux des articles sur la base desquels il est procédé à ladite suspension ; à défaut de telles dispositions, la suspension prend effet dix jours calendaires après l'envoi par </w:t>
      </w:r>
      <w:r w:rsidR="0076712A">
        <w:t>le GRD</w:t>
      </w:r>
      <w:r w:rsidRPr="00FA158B">
        <w:t xml:space="preserve"> au Client d'une lettre recommandée avec demande d'avis de réception valant mise en demeure, avec copie au Fournisseur.</w:t>
      </w:r>
    </w:p>
    <w:p w14:paraId="564E77E7" w14:textId="77777777" w:rsidR="00F97290" w:rsidRPr="00FA158B" w:rsidRDefault="00F97290" w:rsidP="003864D6">
      <w:pPr>
        <w:pStyle w:val="Titre2"/>
        <w:tabs>
          <w:tab w:val="left" w:pos="993"/>
        </w:tabs>
      </w:pPr>
      <w:bookmarkStart w:id="376" w:name="_Toc165044675"/>
      <w:bookmarkStart w:id="377" w:name="_Toc165044676"/>
      <w:bookmarkStart w:id="378" w:name="_Toc54021234"/>
      <w:bookmarkStart w:id="379" w:name="_Ref54179303"/>
      <w:bookmarkStart w:id="380" w:name="_Toc54179604"/>
      <w:bookmarkStart w:id="381" w:name="_Ref57025616"/>
      <w:bookmarkStart w:id="382" w:name="_Toc472522907"/>
      <w:bookmarkStart w:id="383" w:name="_Toc21422483"/>
      <w:bookmarkEnd w:id="375"/>
      <w:bookmarkEnd w:id="376"/>
      <w:bookmarkEnd w:id="377"/>
      <w:r w:rsidRPr="00FA158B">
        <w:t>Résiliation d’un Contrat Unique à l’initiative du Client</w:t>
      </w:r>
      <w:bookmarkEnd w:id="378"/>
      <w:bookmarkEnd w:id="379"/>
      <w:bookmarkEnd w:id="380"/>
      <w:bookmarkEnd w:id="381"/>
      <w:bookmarkEnd w:id="382"/>
      <w:bookmarkEnd w:id="383"/>
      <w:r w:rsidRPr="00FA158B">
        <w:t xml:space="preserve"> </w:t>
      </w:r>
    </w:p>
    <w:p w14:paraId="1B5AC544" w14:textId="77777777" w:rsidR="00F97290" w:rsidRPr="00FA158B" w:rsidRDefault="00F97290" w:rsidP="000C0CCD">
      <w:pPr>
        <w:pStyle w:val="Titre3"/>
      </w:pPr>
      <w:bookmarkStart w:id="384" w:name="_Toc21422484"/>
      <w:r w:rsidRPr="00FA158B">
        <w:t>Cas des Clients qui ne souhaitent plus disposer d’un accès au RPD</w:t>
      </w:r>
      <w:bookmarkEnd w:id="384"/>
    </w:p>
    <w:p w14:paraId="044E8E35" w14:textId="4193FAF0" w:rsidR="00F97290" w:rsidRPr="00FA158B" w:rsidRDefault="00F97290" w:rsidP="009C3752">
      <w:pPr>
        <w:rPr>
          <w:b/>
        </w:rPr>
      </w:pPr>
      <w:r w:rsidRPr="00FA158B">
        <w:t xml:space="preserve">Le Fournisseur formule une demande de résiliation du Point de Livraison pour le compte du Client via la Plate-forme d'échanges </w:t>
      </w:r>
      <w:r w:rsidR="0076712A">
        <w:t>du GRD</w:t>
      </w:r>
      <w:r w:rsidR="00E531A5" w:rsidRPr="00FA158B">
        <w:t xml:space="preserve"> </w:t>
      </w:r>
      <w:r w:rsidRPr="00FA158B">
        <w:t xml:space="preserve">selon les modalités définies dans les référentiels </w:t>
      </w:r>
      <w:r w:rsidR="0076712A">
        <w:t>du GRD</w:t>
      </w:r>
      <w:r w:rsidRPr="00FA158B">
        <w:t>.</w:t>
      </w:r>
    </w:p>
    <w:p w14:paraId="54B24C30" w14:textId="650EA892" w:rsidR="00F97290" w:rsidRPr="00FA158B" w:rsidRDefault="00F97290" w:rsidP="009C3752">
      <w:r w:rsidRPr="00FA158B">
        <w:t xml:space="preserve">La résiliation du Contrat Unique est réalisée selon les modalités définies dans les référentiels </w:t>
      </w:r>
      <w:r w:rsidR="0076712A">
        <w:t>du GRD</w:t>
      </w:r>
      <w:r w:rsidRPr="00FA158B">
        <w:t xml:space="preserve"> et dans son Catalogue des prestations.</w:t>
      </w:r>
    </w:p>
    <w:p w14:paraId="5721AB79" w14:textId="7E65CBA4" w:rsidR="00F97290" w:rsidRPr="00FA158B" w:rsidRDefault="00F97290" w:rsidP="000C0CCD">
      <w:pPr>
        <w:pStyle w:val="Titre3"/>
      </w:pPr>
      <w:bookmarkStart w:id="385" w:name="_Toc21422485"/>
      <w:r w:rsidRPr="00FA158B">
        <w:lastRenderedPageBreak/>
        <w:t>Cas des Clients souhaitant souscrire un contrat CARD</w:t>
      </w:r>
      <w:bookmarkEnd w:id="385"/>
      <w:r w:rsidRPr="00FA158B">
        <w:t xml:space="preserve"> </w:t>
      </w:r>
    </w:p>
    <w:p w14:paraId="41BC1939" w14:textId="65A811D1" w:rsidR="00F97290" w:rsidRPr="00FA158B" w:rsidRDefault="00F97290" w:rsidP="009C3752">
      <w:r w:rsidRPr="00FA158B">
        <w:t xml:space="preserve">Le Client formule sa demande de souscription d’un contrat CARD </w:t>
      </w:r>
      <w:r w:rsidR="0076712A">
        <w:t>au GRD</w:t>
      </w:r>
      <w:r w:rsidRPr="00FA158B">
        <w:t xml:space="preserve"> selon les modalités définies dans les référentiels </w:t>
      </w:r>
      <w:r w:rsidR="0076712A">
        <w:t>du GRD</w:t>
      </w:r>
      <w:r w:rsidRPr="00FA158B">
        <w:t>.</w:t>
      </w:r>
    </w:p>
    <w:p w14:paraId="6820787F" w14:textId="7BC05996" w:rsidR="00F97290" w:rsidRPr="00FA158B" w:rsidRDefault="00F97290" w:rsidP="009C3752">
      <w:r w:rsidRPr="00FA158B">
        <w:t xml:space="preserve">La résiliation du Contrat Unique est réalisée selon les modalités définies dans les référentiels </w:t>
      </w:r>
      <w:r w:rsidR="0076712A">
        <w:t>du GRD</w:t>
      </w:r>
      <w:r w:rsidR="00E531A5" w:rsidRPr="00FA158B">
        <w:rPr>
          <w:color w:val="auto"/>
        </w:rPr>
        <w:t xml:space="preserve"> </w:t>
      </w:r>
      <w:r w:rsidRPr="00FA158B">
        <w:t>et dans son Catalogue des prestations.</w:t>
      </w:r>
    </w:p>
    <w:p w14:paraId="40BB8358" w14:textId="77777777" w:rsidR="00F97290" w:rsidRPr="00FA158B" w:rsidRDefault="00F97290" w:rsidP="003864D6">
      <w:pPr>
        <w:pStyle w:val="Titre2"/>
        <w:tabs>
          <w:tab w:val="left" w:pos="993"/>
        </w:tabs>
      </w:pPr>
      <w:r w:rsidRPr="00FA158B">
        <w:t xml:space="preserve"> </w:t>
      </w:r>
      <w:bookmarkStart w:id="386" w:name="_Ref44220011"/>
      <w:bookmarkStart w:id="387" w:name="_Toc52255722"/>
      <w:bookmarkStart w:id="388" w:name="_Toc472522908"/>
      <w:bookmarkStart w:id="389" w:name="_Toc21422486"/>
      <w:r w:rsidRPr="00FA158B">
        <w:t>Changement de Fournisseur à un Point de Livraison</w:t>
      </w:r>
      <w:bookmarkEnd w:id="386"/>
      <w:bookmarkEnd w:id="387"/>
      <w:bookmarkEnd w:id="388"/>
      <w:bookmarkEnd w:id="389"/>
    </w:p>
    <w:p w14:paraId="74AA8D53" w14:textId="77777777" w:rsidR="00F97290" w:rsidRPr="00FA158B" w:rsidRDefault="00F97290" w:rsidP="009C3752">
      <w:r w:rsidRPr="00FA158B">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Réseau Public de Distribution (RPD) pour le Client. </w:t>
      </w:r>
    </w:p>
    <w:p w14:paraId="4DFC987F" w14:textId="4CA57FA3" w:rsidR="00F97290" w:rsidRPr="00FA158B" w:rsidRDefault="00F97290" w:rsidP="009C3752">
      <w:r w:rsidRPr="00FA158B">
        <w:t xml:space="preserve">Le nouveau Fournisseur formule une demande de changement de Fournisseur pour le compte du Client via la Plate-forme d'échanges </w:t>
      </w:r>
      <w:r w:rsidR="0076712A">
        <w:t>du GRD</w:t>
      </w:r>
      <w:r w:rsidR="00E531A5" w:rsidRPr="00FA158B">
        <w:t xml:space="preserve"> </w:t>
      </w:r>
      <w:r w:rsidR="002C1F87">
        <w:t>se</w:t>
      </w:r>
      <w:r w:rsidRPr="00FA158B">
        <w:t xml:space="preserve">lon les modalités définies dans les référentiels </w:t>
      </w:r>
      <w:r w:rsidR="0076712A">
        <w:t>du GRD</w:t>
      </w:r>
      <w:r w:rsidRPr="00FA158B">
        <w:t>. L’ancien Fournisseur ne peut pas s’opposer au changement de Fournisseur demandé.</w:t>
      </w:r>
    </w:p>
    <w:p w14:paraId="6E7316FA" w14:textId="688742A1" w:rsidR="00F97290" w:rsidRPr="00FA158B" w:rsidRDefault="00FC2091" w:rsidP="009C3752">
      <w:bookmarkStart w:id="390" w:name="_Ref32809108"/>
      <w:bookmarkStart w:id="391" w:name="_Toc36290548"/>
      <w:bookmarkStart w:id="392" w:name="_Toc38961508"/>
      <w:bookmarkStart w:id="393" w:name="_Ref58300536"/>
      <w:bookmarkStart w:id="394" w:name="_Toc61171244"/>
      <w:bookmarkEnd w:id="338"/>
      <w:r>
        <w:t>L</w:t>
      </w:r>
      <w:r w:rsidR="0076712A">
        <w:t>e GRD</w:t>
      </w:r>
      <w:r w:rsidR="00F97290" w:rsidRPr="00FA158B">
        <w:t xml:space="preserve"> a la faculté de s’opposer à la demande de changement de Fournisseur si cette dernière ne répond pas aux conditions de recevabilité définies dans les référentiels </w:t>
      </w:r>
      <w:r w:rsidR="0076712A">
        <w:t>du GRD</w:t>
      </w:r>
      <w:r w:rsidR="00F97290" w:rsidRPr="00FA158B">
        <w:t xml:space="preserve"> notamment si :</w:t>
      </w:r>
    </w:p>
    <w:p w14:paraId="504562AA" w14:textId="77777777" w:rsidR="00F97290" w:rsidRPr="00FA158B" w:rsidRDefault="00F97290" w:rsidP="0004412B">
      <w:pPr>
        <w:pStyle w:val="SPuce"/>
      </w:pPr>
      <w:proofErr w:type="gramStart"/>
      <w:r w:rsidRPr="00FA158B">
        <w:t>une</w:t>
      </w:r>
      <w:proofErr w:type="gramEnd"/>
      <w:r w:rsidRPr="00FA158B">
        <w:t xml:space="preserve"> demande antérieure de changement de Fournisseur est déjà en cours de traitement pour le Point de Livraison concerné ;</w:t>
      </w:r>
    </w:p>
    <w:p w14:paraId="10E6F8B0" w14:textId="28140C75" w:rsidR="00F97290" w:rsidRPr="00FA158B" w:rsidRDefault="00F97290" w:rsidP="0004412B">
      <w:pPr>
        <w:pStyle w:val="SPuce"/>
      </w:pPr>
      <w:proofErr w:type="gramStart"/>
      <w:r w:rsidRPr="00FA158B">
        <w:t>une</w:t>
      </w:r>
      <w:proofErr w:type="gramEnd"/>
      <w:r w:rsidRPr="00FA158B">
        <w:t xml:space="preserve"> intervention non autorisée </w:t>
      </w:r>
      <w:r w:rsidR="007C054B" w:rsidRPr="00FA158B">
        <w:t xml:space="preserve">nécessitant la remise en état </w:t>
      </w:r>
      <w:r w:rsidR="00F57F41">
        <w:t xml:space="preserve">des ouvrages </w:t>
      </w:r>
      <w:r w:rsidR="007C054B" w:rsidRPr="00FA158B">
        <w:t>d</w:t>
      </w:r>
      <w:r w:rsidR="00B4181E">
        <w:t>e raccordement a</w:t>
      </w:r>
      <w:r w:rsidR="007C054B" w:rsidRPr="00FA158B">
        <w:t xml:space="preserve">u réseau </w:t>
      </w:r>
      <w:r w:rsidRPr="00FA158B">
        <w:t>a été constatée sur le Dispositif de comptage et/ou les ouvrages de raccordement du Point de Livraison concerné.</w:t>
      </w:r>
    </w:p>
    <w:p w14:paraId="07DF451E" w14:textId="242EA28C" w:rsidR="00F97290" w:rsidRPr="00FA158B" w:rsidRDefault="00F97290" w:rsidP="009C3752">
      <w:r w:rsidRPr="00FA158B">
        <w:t xml:space="preserve">Le changement de Fournisseur est réalisé selon les modalités définies dans les référentiels </w:t>
      </w:r>
      <w:r w:rsidR="0076712A">
        <w:t>du GRD</w:t>
      </w:r>
      <w:r w:rsidR="00E531A5" w:rsidRPr="00FA158B">
        <w:rPr>
          <w:color w:val="auto"/>
        </w:rPr>
        <w:t xml:space="preserve"> </w:t>
      </w:r>
      <w:r w:rsidRPr="00FA158B">
        <w:t>et dans son Catalogue des prestations.</w:t>
      </w:r>
      <w:r w:rsidRPr="00FA158B">
        <w:br w:type="page"/>
      </w:r>
    </w:p>
    <w:p w14:paraId="1B6B46D3" w14:textId="368E0D7D" w:rsidR="00F97290" w:rsidRPr="00FA158B" w:rsidRDefault="00F97290" w:rsidP="00DC643C">
      <w:pPr>
        <w:pStyle w:val="Titre1"/>
      </w:pPr>
      <w:bookmarkStart w:id="395" w:name="_Ref72286377"/>
      <w:bookmarkStart w:id="396" w:name="_Toc472522909"/>
      <w:bookmarkStart w:id="397" w:name="_Toc21422487"/>
      <w:r w:rsidRPr="00FA158B">
        <w:lastRenderedPageBreak/>
        <w:t>D</w:t>
      </w:r>
      <w:bookmarkEnd w:id="390"/>
      <w:bookmarkEnd w:id="391"/>
      <w:bookmarkEnd w:id="392"/>
      <w:bookmarkEnd w:id="393"/>
      <w:bookmarkEnd w:id="394"/>
      <w:r w:rsidRPr="00FA158B">
        <w:t>éfinitions</w:t>
      </w:r>
      <w:bookmarkEnd w:id="395"/>
      <w:bookmarkEnd w:id="396"/>
      <w:bookmarkEnd w:id="397"/>
    </w:p>
    <w:p w14:paraId="7D88C598" w14:textId="77777777" w:rsidR="00F97290" w:rsidRPr="00FA158B" w:rsidRDefault="00F97290" w:rsidP="009C3752">
      <w:pPr>
        <w:rPr>
          <w:snapToGrid w:val="0"/>
        </w:rPr>
      </w:pPr>
      <w:r w:rsidRPr="00FA158B">
        <w:rPr>
          <w:snapToGrid w:val="0"/>
        </w:rPr>
        <w:t xml:space="preserve">Ces définitions sont celles du glossaire technique. Elles sont communes aux trois annexes </w:t>
      </w:r>
      <w:r w:rsidRPr="00FA158B">
        <w:t>1, 2 et 3 « Dispositions générales relatives à l’accès et à l'utilisation du Réseau Public de Distribution »</w:t>
      </w:r>
      <w:r w:rsidRPr="00FA158B">
        <w:rPr>
          <w:snapToGrid w:val="0"/>
        </w:rPr>
        <w:t>. Certaines peuvent ne pas concerner la présente annexe.</w:t>
      </w:r>
    </w:p>
    <w:p w14:paraId="03115A39" w14:textId="77777777" w:rsidR="00F97290" w:rsidRPr="00FA158B" w:rsidRDefault="00F97290" w:rsidP="009C3752"/>
    <w:p w14:paraId="4BBEF5E0" w14:textId="77777777" w:rsidR="00F97290" w:rsidRPr="00FA158B" w:rsidRDefault="00F97290" w:rsidP="009C3752">
      <w:pPr>
        <w:rPr>
          <w:b/>
        </w:rPr>
      </w:pPr>
      <w:r w:rsidRPr="00FA158B">
        <w:rPr>
          <w:b/>
        </w:rPr>
        <w:t>Accord de Participation</w:t>
      </w:r>
    </w:p>
    <w:p w14:paraId="77EB82EB" w14:textId="77777777" w:rsidR="00F97290" w:rsidRPr="00FA158B" w:rsidRDefault="00F97290" w:rsidP="009C3752">
      <w:pPr>
        <w:rPr>
          <w:b/>
        </w:rPr>
      </w:pPr>
      <w:r w:rsidRPr="00FA158B">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210A5B79" w14:textId="77777777" w:rsidR="00F97290" w:rsidRPr="00FA158B" w:rsidRDefault="00F97290" w:rsidP="009C3752">
      <w:pPr>
        <w:rPr>
          <w:b/>
        </w:rPr>
      </w:pPr>
      <w:r w:rsidRPr="00FA158B">
        <w:rPr>
          <w:b/>
        </w:rPr>
        <w:t>Accord de Rattachement (à un Périmètre d’Equilibre)</w:t>
      </w:r>
    </w:p>
    <w:p w14:paraId="2563EC3A" w14:textId="77777777" w:rsidR="00F97290" w:rsidRPr="00FA158B" w:rsidRDefault="00F97290" w:rsidP="009C3752">
      <w:r w:rsidRPr="00FA158B">
        <w:t>Accord entre un Responsable d’Equilibre et le Fournisseur en vue du rattachement de tous les Points de Livraison du Périmètre de Facturation du Fournisseur au Périmètre d’Equilibre de ce Responsable d’Equilibre.</w:t>
      </w:r>
    </w:p>
    <w:p w14:paraId="056A3A8D" w14:textId="77777777" w:rsidR="00F97290" w:rsidRPr="00FA158B" w:rsidRDefault="00F97290" w:rsidP="009C3752">
      <w:pPr>
        <w:rPr>
          <w:b/>
        </w:rPr>
      </w:pPr>
      <w:r w:rsidRPr="00FA158B">
        <w:rPr>
          <w:b/>
        </w:rPr>
        <w:t>Alimentation Principale</w:t>
      </w:r>
    </w:p>
    <w:p w14:paraId="5754DFA7" w14:textId="77777777" w:rsidR="00F97290" w:rsidRPr="00FA158B" w:rsidRDefault="00F97290" w:rsidP="009C3752">
      <w:r w:rsidRPr="00FA158B">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6E14FEDA" w14:textId="77777777" w:rsidR="00F97290" w:rsidRPr="00FA158B" w:rsidRDefault="00F97290" w:rsidP="009C3752">
      <w:pPr>
        <w:rPr>
          <w:b/>
        </w:rPr>
      </w:pPr>
      <w:r w:rsidRPr="00FA158B">
        <w:rPr>
          <w:b/>
        </w:rPr>
        <w:t>Alimentation de Secours</w:t>
      </w:r>
    </w:p>
    <w:p w14:paraId="3681F4B2" w14:textId="77777777" w:rsidR="00F97290" w:rsidRPr="00FA158B" w:rsidRDefault="00F97290" w:rsidP="009C3752">
      <w:r w:rsidRPr="00FA158B">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3295221D" w14:textId="77777777" w:rsidR="00F97290" w:rsidRPr="00FA158B" w:rsidRDefault="00F97290" w:rsidP="009C3752">
      <w:pPr>
        <w:rPr>
          <w:b/>
        </w:rPr>
      </w:pPr>
      <w:r w:rsidRPr="00FA158B">
        <w:rPr>
          <w:b/>
        </w:rPr>
        <w:t>Alimentation Complémentaire</w:t>
      </w:r>
    </w:p>
    <w:p w14:paraId="1E4A7706" w14:textId="77777777" w:rsidR="00F97290" w:rsidRPr="00FA158B" w:rsidRDefault="00F97290" w:rsidP="009C3752">
      <w:r w:rsidRPr="00FA158B">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29C4D568" w14:textId="77777777" w:rsidR="00F97290" w:rsidRPr="00FA158B" w:rsidRDefault="00F97290" w:rsidP="009C3752">
      <w:pPr>
        <w:rPr>
          <w:b/>
        </w:rPr>
      </w:pPr>
      <w:r w:rsidRPr="00FA158B">
        <w:rPr>
          <w:b/>
        </w:rPr>
        <w:t>Branchement</w:t>
      </w:r>
    </w:p>
    <w:p w14:paraId="7F3BC168" w14:textId="77777777" w:rsidR="00F97290" w:rsidRPr="00FA158B" w:rsidRDefault="00F97290" w:rsidP="009C3752">
      <w:r w:rsidRPr="00FA158B">
        <w:t>Est constitué par les parties terminales du RPD qui ont pour fonction d’amener le courant du RPD à l’intérieur des propriétés desservies (au sens du cahier des charges de distribution d‘énergie électrique).</w:t>
      </w:r>
    </w:p>
    <w:p w14:paraId="3277AFB0" w14:textId="77777777" w:rsidR="00F97290" w:rsidRPr="00FA158B" w:rsidRDefault="00F97290" w:rsidP="009C3752">
      <w:pPr>
        <w:rPr>
          <w:b/>
        </w:rPr>
      </w:pPr>
      <w:r w:rsidRPr="00FA158B">
        <w:rPr>
          <w:b/>
        </w:rPr>
        <w:t>Catalogue des prestations</w:t>
      </w:r>
    </w:p>
    <w:p w14:paraId="349BC4FC" w14:textId="2E58C4DD" w:rsidR="00F97290" w:rsidRPr="00FA158B" w:rsidRDefault="00F97290" w:rsidP="009C3752">
      <w:r w:rsidRPr="00FA158B">
        <w:t xml:space="preserve">Catalogue présentant l’offre </w:t>
      </w:r>
      <w:r w:rsidR="0076712A">
        <w:t>du GRD</w:t>
      </w:r>
      <w:r w:rsidRPr="00FA158B">
        <w:t xml:space="preserve">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w:t>
      </w:r>
      <w:r w:rsidR="00CE16AE">
        <w:t>Site</w:t>
      </w:r>
      <w:r w:rsidRPr="00FA158B">
        <w:t xml:space="preserve"> Internet </w:t>
      </w:r>
      <w:r w:rsidR="0076712A">
        <w:t>du GRD</w:t>
      </w:r>
      <w:r w:rsidRPr="00FA158B">
        <w:t>.</w:t>
      </w:r>
    </w:p>
    <w:p w14:paraId="5A381E66" w14:textId="77777777" w:rsidR="00F97290" w:rsidRPr="00FA158B" w:rsidRDefault="00F97290" w:rsidP="009C3752">
      <w:pPr>
        <w:rPr>
          <w:b/>
        </w:rPr>
      </w:pPr>
      <w:r w:rsidRPr="00FA158B">
        <w:rPr>
          <w:b/>
        </w:rPr>
        <w:t xml:space="preserve">Client </w:t>
      </w:r>
    </w:p>
    <w:p w14:paraId="35F30FCA" w14:textId="77777777" w:rsidR="00F97290" w:rsidRPr="00FA158B" w:rsidRDefault="00F97290" w:rsidP="009C3752">
      <w:r w:rsidRPr="00FA158B">
        <w:t xml:space="preserve">Utilisateur du RPD consommant de l’électricité achetée à un Fournisseur exclusif via un Contrat Unique. Un Client peut l'être sur plusieurs Sites. </w:t>
      </w:r>
    </w:p>
    <w:p w14:paraId="48B17EF7" w14:textId="77777777" w:rsidR="00F97290" w:rsidRPr="00FA158B" w:rsidRDefault="00F97290" w:rsidP="009C3752">
      <w:pPr>
        <w:rPr>
          <w:b/>
        </w:rPr>
      </w:pPr>
      <w:r w:rsidRPr="00FA158B">
        <w:rPr>
          <w:b/>
        </w:rPr>
        <w:t>Commission de régulation de l’énergie (CRE)</w:t>
      </w:r>
    </w:p>
    <w:p w14:paraId="030B22BB" w14:textId="556794ED" w:rsidR="00D801A4" w:rsidRPr="00FA158B" w:rsidRDefault="00F97290" w:rsidP="009C3752">
      <w:r w:rsidRPr="00FA158B">
        <w:t>Désigne la Commission de Régulation de l’Energie, autorité administrative indépendante, instituée par l’article L131-1 du code de l’énergie.</w:t>
      </w:r>
    </w:p>
    <w:p w14:paraId="5D401A9A" w14:textId="77777777" w:rsidR="00F97290" w:rsidRPr="00FA158B" w:rsidRDefault="00F97290" w:rsidP="009C3752">
      <w:pPr>
        <w:rPr>
          <w:b/>
        </w:rPr>
      </w:pPr>
      <w:r w:rsidRPr="00FA158B">
        <w:rPr>
          <w:b/>
        </w:rPr>
        <w:t>Compteur</w:t>
      </w:r>
    </w:p>
    <w:p w14:paraId="7F496866" w14:textId="000AB096" w:rsidR="00F97290" w:rsidRDefault="00F97290" w:rsidP="009C3752">
      <w:r w:rsidRPr="00FA158B">
        <w:t>Equipement de mesure de l’énergie électrique active et/ou réactive consommée ou produite par un Utilis</w:t>
      </w:r>
      <w:r w:rsidR="00FC2091">
        <w:t>a</w:t>
      </w:r>
      <w:r w:rsidRPr="00FA158B">
        <w:t>teur du RPD.</w:t>
      </w:r>
    </w:p>
    <w:p w14:paraId="3C84706E" w14:textId="77777777" w:rsidR="00D3789D" w:rsidRPr="00FA158B" w:rsidRDefault="00D3789D" w:rsidP="009C3752"/>
    <w:p w14:paraId="3E371BD3" w14:textId="77777777" w:rsidR="00F97290" w:rsidRPr="00FA158B" w:rsidRDefault="00F97290" w:rsidP="009C3752">
      <w:pPr>
        <w:rPr>
          <w:b/>
        </w:rPr>
      </w:pPr>
      <w:r w:rsidRPr="00FA158B">
        <w:rPr>
          <w:b/>
        </w:rPr>
        <w:lastRenderedPageBreak/>
        <w:t>Compteur Communicant</w:t>
      </w:r>
    </w:p>
    <w:p w14:paraId="63333069" w14:textId="789B3A53" w:rsidR="00F97290" w:rsidRPr="00FA158B" w:rsidRDefault="00F97290" w:rsidP="009C3752">
      <w:r w:rsidRPr="00FA158B">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w:t>
      </w:r>
      <w:r w:rsidRPr="00FA158B">
        <w:rPr>
          <w:bCs/>
        </w:rPr>
        <w:t>du 4 janvier 2012. Le Compteur Communicant est consultable à distance à partir des systèmes d’information administrés par le GRD.</w:t>
      </w:r>
    </w:p>
    <w:p w14:paraId="3DD52647" w14:textId="77777777" w:rsidR="00F97290" w:rsidRPr="00FA158B" w:rsidRDefault="00F97290" w:rsidP="009C3752">
      <w:pPr>
        <w:rPr>
          <w:b/>
        </w:rPr>
      </w:pPr>
      <w:r w:rsidRPr="00FA158B">
        <w:rPr>
          <w:b/>
        </w:rPr>
        <w:t>Contrat GRD-F (ou GRD-Fournisseur)</w:t>
      </w:r>
    </w:p>
    <w:p w14:paraId="352A4E7B" w14:textId="77777777" w:rsidR="00F97290" w:rsidRPr="00FA158B" w:rsidRDefault="00F97290" w:rsidP="009C3752">
      <w:r w:rsidRPr="00FA158B">
        <w:t xml:space="preserve">Contrat conclu, y compris ses annexes, entre </w:t>
      </w:r>
      <w:proofErr w:type="gramStart"/>
      <w:r w:rsidRPr="00FA158B">
        <w:t>un GRD</w:t>
      </w:r>
      <w:proofErr w:type="gramEnd"/>
      <w:r w:rsidRPr="00FA158B">
        <w:t xml:space="preserve"> et un Fournisseur, relatif à l’accès, et l’utilisation du RPD.  Il est conclu en application de l’article L111-92 du code de l’énergie, en vue de permettre au fournisseur de proposer aux Clients un Contrat Unique.</w:t>
      </w:r>
    </w:p>
    <w:p w14:paraId="3311929C" w14:textId="77777777" w:rsidR="00F97290" w:rsidRPr="00FA158B" w:rsidRDefault="00F97290" w:rsidP="009C3752">
      <w:pPr>
        <w:rPr>
          <w:b/>
        </w:rPr>
      </w:pPr>
      <w:r w:rsidRPr="00FA158B">
        <w:rPr>
          <w:b/>
        </w:rPr>
        <w:t>Contrat GRD-RE</w:t>
      </w:r>
    </w:p>
    <w:p w14:paraId="443240EA" w14:textId="4B153588" w:rsidR="00F97290" w:rsidRPr="00FA158B" w:rsidRDefault="00F97290" w:rsidP="009C3752">
      <w:pPr>
        <w:rPr>
          <w:b/>
        </w:rPr>
      </w:pPr>
      <w:r w:rsidRPr="00FA158B">
        <w:t xml:space="preserve">Contrat conclu entre </w:t>
      </w:r>
      <w:r w:rsidR="0076712A">
        <w:t>le GRD</w:t>
      </w:r>
      <w:r w:rsidRPr="00FA158B">
        <w:t xml:space="preserve"> et un Responsable d’Equilibre relatif au processus de reconstitution des flux </w:t>
      </w:r>
      <w:r w:rsidR="0076712A">
        <w:t>du GRD</w:t>
      </w:r>
      <w:r w:rsidRPr="00FA158B">
        <w:t xml:space="preserve"> vers RTE pour le calcul des Ecarts des Responsables d’Equilibre.</w:t>
      </w:r>
    </w:p>
    <w:p w14:paraId="56F12D78" w14:textId="77777777" w:rsidR="00F97290" w:rsidRPr="00FA158B" w:rsidRDefault="00F97290" w:rsidP="009C3752">
      <w:pPr>
        <w:rPr>
          <w:b/>
        </w:rPr>
      </w:pPr>
      <w:r w:rsidRPr="00FA158B">
        <w:rPr>
          <w:b/>
        </w:rPr>
        <w:t>Contrat Unique</w:t>
      </w:r>
    </w:p>
    <w:p w14:paraId="7D6A33F9" w14:textId="07B372F5" w:rsidR="00F97290" w:rsidRPr="00FA158B" w:rsidRDefault="00F97290" w:rsidP="009C3752">
      <w:r w:rsidRPr="00FA158B">
        <w:t xml:space="preserve">Contrat regroupant la fourniture d’électricité, l’accès et l’utilisation du RPD, signé entre un Client et un Fournisseur unique pour un ou des Points de Livraison. Il suppose l'existence d’un Contrat GRD-F préalablement conclu entre le Fournisseur concerné et </w:t>
      </w:r>
      <w:r w:rsidR="0076712A">
        <w:t>le GRD</w:t>
      </w:r>
      <w:r w:rsidRPr="00FA158B">
        <w:t>.</w:t>
      </w:r>
    </w:p>
    <w:p w14:paraId="6E58E06C" w14:textId="77777777" w:rsidR="00F97290" w:rsidRPr="00FA158B" w:rsidRDefault="00F97290" w:rsidP="009C3752">
      <w:pPr>
        <w:rPr>
          <w:b/>
        </w:rPr>
      </w:pPr>
      <w:r w:rsidRPr="00FA158B">
        <w:rPr>
          <w:b/>
        </w:rPr>
        <w:t>Convention d'Exploitation</w:t>
      </w:r>
    </w:p>
    <w:p w14:paraId="62A690EF" w14:textId="0A4DDE99" w:rsidR="00F97290" w:rsidRPr="00FA158B" w:rsidRDefault="00F97290" w:rsidP="009C3752">
      <w:r w:rsidRPr="00FA158B">
        <w:t xml:space="preserve">Document contractuel défini par les articles D342-10 et D342-12 du code de l’énergie, conclu avec </w:t>
      </w:r>
      <w:r w:rsidR="0076712A">
        <w:t>le GRD</w:t>
      </w:r>
      <w:r w:rsidRPr="00FA158B">
        <w:t xml:space="preserve"> par l'exploitant de l'installation du Client. La Convention d'Exploitation précise les règles nécessaires pour permettre l'exploitation de l'installation en cohérence avec les règles d'exploitation du RPD généralement en HTA.</w:t>
      </w:r>
    </w:p>
    <w:p w14:paraId="2B130AD9" w14:textId="77777777" w:rsidR="00F97290" w:rsidRPr="00FA158B" w:rsidRDefault="00F97290" w:rsidP="009C3752">
      <w:pPr>
        <w:rPr>
          <w:b/>
        </w:rPr>
      </w:pPr>
      <w:r w:rsidRPr="00FA158B">
        <w:rPr>
          <w:b/>
        </w:rPr>
        <w:t>Convention de Raccordement</w:t>
      </w:r>
    </w:p>
    <w:p w14:paraId="14940180" w14:textId="686152E5" w:rsidR="00F97290" w:rsidRPr="00FA158B" w:rsidRDefault="00F97290" w:rsidP="009C3752">
      <w:r w:rsidRPr="00FA158B">
        <w:t xml:space="preserve">Document contractuel défini par les articles D342-10 et 11 du code de l’énergie, conclu avec </w:t>
      </w:r>
      <w:r w:rsidR="0076712A">
        <w:t>le GRD</w:t>
      </w:r>
      <w:r w:rsidRPr="00FA158B">
        <w:t xml:space="preserve">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0D0A36BD" w14:textId="77777777" w:rsidR="00F97290" w:rsidRPr="00FA158B" w:rsidRDefault="00F97290" w:rsidP="009C3752">
      <w:pPr>
        <w:rPr>
          <w:b/>
        </w:rPr>
      </w:pPr>
      <w:proofErr w:type="spellStart"/>
      <w:r w:rsidRPr="00FA158B">
        <w:rPr>
          <w:b/>
        </w:rPr>
        <w:t>CoRDiS</w:t>
      </w:r>
      <w:proofErr w:type="spellEnd"/>
    </w:p>
    <w:p w14:paraId="5BE29CB7" w14:textId="77777777" w:rsidR="00F97290" w:rsidRPr="00FA158B" w:rsidRDefault="00F97290" w:rsidP="009C3752">
      <w:r w:rsidRPr="00FA158B">
        <w:t xml:space="preserve">Comité de Règlement des Différends et des Sanctions de la </w:t>
      </w:r>
      <w:r w:rsidRPr="00FA158B">
        <w:rPr>
          <w:bCs/>
        </w:rPr>
        <w:t>CRE</w:t>
      </w:r>
      <w:r w:rsidRPr="00FA158B">
        <w:t>.</w:t>
      </w:r>
    </w:p>
    <w:p w14:paraId="1FA31131" w14:textId="37A139A7" w:rsidR="00F97290" w:rsidRPr="008171E3" w:rsidRDefault="00F97290" w:rsidP="009C3752">
      <w:pPr>
        <w:rPr>
          <w:b/>
        </w:rPr>
      </w:pPr>
      <w:r w:rsidRPr="008171E3">
        <w:rPr>
          <w:b/>
        </w:rPr>
        <w:t>Coupure, Coupure Brève, Coupure Longue</w:t>
      </w:r>
      <w:r w:rsidR="005D0D2B" w:rsidRPr="008171E3">
        <w:rPr>
          <w:b/>
        </w:rPr>
        <w:t xml:space="preserve"> </w:t>
      </w:r>
    </w:p>
    <w:p w14:paraId="4DD7502E" w14:textId="78B607AF" w:rsidR="00F97290" w:rsidRPr="00FA158B" w:rsidRDefault="00F97290" w:rsidP="009C3752">
      <w:r w:rsidRPr="008171E3">
        <w:t>Il y a Coupure lorsque les valeurs efficaces de l’ensemble des tensions entre phases délivrées sont simultanément inférieures à 5% de la Tension Contractuelle U</w:t>
      </w:r>
      <w:r w:rsidRPr="008171E3">
        <w:rPr>
          <w:position w:val="-4"/>
          <w:vertAlign w:val="subscript"/>
        </w:rPr>
        <w:t>c</w:t>
      </w:r>
      <w:r w:rsidRPr="008171E3">
        <w:t xml:space="preserve"> pendant une durée supérieure ou égale à 1 seconde, au Point de Livraison. La mesure de la valeur efficace est effectuée indépendamment sur chacune des 3 tensions entre phases, conformément à la norme CEI 61000-4-30.</w:t>
      </w:r>
    </w:p>
    <w:p w14:paraId="582BC435" w14:textId="77777777" w:rsidR="00F97290" w:rsidRPr="00FA158B" w:rsidRDefault="00F97290" w:rsidP="009C3752">
      <w:r w:rsidRPr="00FA158B">
        <w:t xml:space="preserve">Une Coupure Brève a une durée supérieure ou égale à 1 seconde et inférieure ou égale à 3 minutes. </w:t>
      </w:r>
    </w:p>
    <w:p w14:paraId="22131ABE" w14:textId="77777777" w:rsidR="00F97290" w:rsidRPr="00FA158B" w:rsidRDefault="00F97290" w:rsidP="009C3752">
      <w:r w:rsidRPr="00FA158B">
        <w:t>Une Coupure Longue a une durée supérieure à 3 minutes.</w:t>
      </w:r>
    </w:p>
    <w:p w14:paraId="51F5BDAB" w14:textId="77777777" w:rsidR="00F97290" w:rsidRPr="00FA158B" w:rsidRDefault="00F97290" w:rsidP="009C3752">
      <w:pPr>
        <w:rPr>
          <w:b/>
        </w:rPr>
      </w:pPr>
      <w:r w:rsidRPr="00FA158B">
        <w:rPr>
          <w:b/>
        </w:rPr>
        <w:t>Courbe de Charge</w:t>
      </w:r>
    </w:p>
    <w:p w14:paraId="31FE2EB4" w14:textId="63FE2730" w:rsidR="00E347FD" w:rsidRPr="00FA158B" w:rsidRDefault="00F97290" w:rsidP="009C3752">
      <w:pPr>
        <w:rPr>
          <w:b/>
        </w:rPr>
      </w:pPr>
      <w:r w:rsidRPr="00FA158B">
        <w:t>Ensemble de valeurs moyennes horodatées de la puissance active ou réactive soutirée, sur des périodes d’intégration consécutives et de même durée.</w:t>
      </w:r>
    </w:p>
    <w:p w14:paraId="7F526A95" w14:textId="77777777" w:rsidR="00F97290" w:rsidRPr="00FA158B" w:rsidRDefault="00F97290" w:rsidP="009C3752">
      <w:pPr>
        <w:rPr>
          <w:b/>
        </w:rPr>
      </w:pPr>
      <w:r w:rsidRPr="00FA158B">
        <w:rPr>
          <w:b/>
        </w:rPr>
        <w:t>Creux de Tension</w:t>
      </w:r>
    </w:p>
    <w:p w14:paraId="17CFC301" w14:textId="77777777" w:rsidR="00F97290" w:rsidRDefault="00F97290" w:rsidP="009C3752">
      <w:r w:rsidRPr="00FA158B">
        <w:t>Diminution brusque de la Tension de Fourniture (</w:t>
      </w:r>
      <w:proofErr w:type="spellStart"/>
      <w:r w:rsidRPr="00FA158B">
        <w:t>U</w:t>
      </w:r>
      <w:r w:rsidRPr="00FA158B">
        <w:rPr>
          <w:vertAlign w:val="subscript"/>
        </w:rPr>
        <w:t>f</w:t>
      </w:r>
      <w:proofErr w:type="spellEnd"/>
      <w:r w:rsidRPr="00FA158B">
        <w:t>) à une valeur située entre 90% et 1% de la Tension Contractuelle (</w:t>
      </w:r>
      <w:proofErr w:type="spellStart"/>
      <w:r w:rsidRPr="00FA158B">
        <w:t>U</w:t>
      </w:r>
      <w:r w:rsidRPr="00FA158B">
        <w:rPr>
          <w:vertAlign w:val="subscript"/>
        </w:rPr>
        <w:t>c</w:t>
      </w:r>
      <w:proofErr w:type="spellEnd"/>
      <w:r w:rsidRPr="00FA158B">
        <w:t>), suivie du rétablissement de la tension après un court laps de temps. Les caractéristiques des Creux de Tension sont définies par la norme NF EN 50-160.</w:t>
      </w:r>
    </w:p>
    <w:p w14:paraId="3FDA007B" w14:textId="77777777" w:rsidR="00D3789D" w:rsidRPr="00FA158B" w:rsidRDefault="00D3789D" w:rsidP="009C3752"/>
    <w:p w14:paraId="1878ADFF" w14:textId="77777777" w:rsidR="00F97290" w:rsidRPr="00FA158B" w:rsidRDefault="00E347FD" w:rsidP="009C3752">
      <w:pPr>
        <w:rPr>
          <w:b/>
        </w:rPr>
      </w:pPr>
      <w:r w:rsidRPr="00FA158B">
        <w:rPr>
          <w:b/>
        </w:rPr>
        <w:lastRenderedPageBreak/>
        <w:t>D</w:t>
      </w:r>
      <w:r w:rsidR="00F97290" w:rsidRPr="00FA158B">
        <w:rPr>
          <w:b/>
        </w:rPr>
        <w:t>éconnexion</w:t>
      </w:r>
    </w:p>
    <w:p w14:paraId="68B7BEB1" w14:textId="77777777" w:rsidR="00F97290" w:rsidRPr="00FA158B" w:rsidRDefault="00F97290" w:rsidP="009C3752">
      <w:r w:rsidRPr="00FA158B">
        <w:t>Mise hors tension définitive des installations du Client.</w:t>
      </w:r>
    </w:p>
    <w:p w14:paraId="6C1B68D6" w14:textId="77777777" w:rsidR="00F97290" w:rsidRPr="00FA158B" w:rsidRDefault="00F97290" w:rsidP="009C3752">
      <w:pPr>
        <w:rPr>
          <w:b/>
        </w:rPr>
      </w:pPr>
      <w:r w:rsidRPr="00FA158B">
        <w:rPr>
          <w:b/>
        </w:rPr>
        <w:t>Déséquilibres de la Tension</w:t>
      </w:r>
    </w:p>
    <w:p w14:paraId="7291C017" w14:textId="2E3B7B36" w:rsidR="00F97290" w:rsidRPr="00FA158B" w:rsidRDefault="00FC2091" w:rsidP="009C3752">
      <w:r>
        <w:t>L</w:t>
      </w:r>
      <w:r w:rsidR="0076712A">
        <w:t>e GRD</w:t>
      </w:r>
      <w:r w:rsidR="00F97290" w:rsidRPr="00FA158B">
        <w:t xml:space="preserve">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00F97290" w:rsidRPr="00FA158B">
        <w:sym w:font="Symbol" w:char="F074"/>
      </w:r>
      <w:r w:rsidR="00F97290" w:rsidRPr="00FA158B">
        <w:rPr>
          <w:vertAlign w:val="subscript"/>
        </w:rPr>
        <w:t>i</w:t>
      </w:r>
      <w:r w:rsidR="00F97290" w:rsidRPr="00FA158B">
        <w:t xml:space="preserve"> est la valeur instantanée du déséquilibre, on définit le taux moyen </w:t>
      </w:r>
      <w:r w:rsidR="00F97290" w:rsidRPr="00FA158B">
        <w:sym w:font="Symbol" w:char="F074"/>
      </w:r>
      <w:proofErr w:type="spellStart"/>
      <w:r w:rsidR="00F97290" w:rsidRPr="00FA158B">
        <w:rPr>
          <w:vertAlign w:val="subscript"/>
        </w:rPr>
        <w:t>vm</w:t>
      </w:r>
      <w:proofErr w:type="spellEnd"/>
      <w:r w:rsidR="00F97290" w:rsidRPr="00FA158B">
        <w:t xml:space="preserve"> par la relation </w:t>
      </w:r>
      <w:r w:rsidR="00F97290" w:rsidRPr="00FA158B">
        <w:rPr>
          <w:noProof/>
          <w:position w:val="-26"/>
        </w:rPr>
        <w:object w:dxaOrig="1640" w:dyaOrig="660" w14:anchorId="6CEA9AC5">
          <v:shape id="_x0000_i1028" type="#_x0000_t75" style="width:106.5pt;height:42pt" o:ole="">
            <v:imagedata r:id="rId30" o:title=""/>
          </v:shape>
          <o:OLEObject Type="Embed" ProgID="Equation.3" ShapeID="_x0000_i1028" DrawAspect="Content" ObjectID="_1682145182" r:id="rId31"/>
        </w:object>
      </w:r>
      <w:r w:rsidR="00F97290" w:rsidRPr="00FA158B">
        <w:t>, où T = 10 minutes.</w:t>
      </w:r>
      <w:r w:rsidR="00F97290" w:rsidRPr="00FA158B">
        <w:rPr>
          <w:position w:val="-38"/>
        </w:rPr>
        <w:t xml:space="preserve"> </w:t>
      </w:r>
      <w:r w:rsidR="00F97290" w:rsidRPr="00FA158B">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5C83375A" w14:textId="77777777" w:rsidR="00F97290" w:rsidRPr="00FA158B" w:rsidRDefault="00F97290" w:rsidP="009C3752">
      <w:pPr>
        <w:rPr>
          <w:b/>
        </w:rPr>
      </w:pPr>
      <w:r w:rsidRPr="00FA158B">
        <w:rPr>
          <w:b/>
        </w:rPr>
        <w:t>Disjoncteur (ou Disjoncteur de branchement)</w:t>
      </w:r>
    </w:p>
    <w:p w14:paraId="76ADC8B0" w14:textId="3AF2840F" w:rsidR="00E531A5" w:rsidRPr="00FA158B" w:rsidRDefault="00F97290" w:rsidP="009C3752">
      <w:r w:rsidRPr="00FA158B">
        <w:t>L’appareil général de commande et de protection (AGCP) pour les Branchements o</w:t>
      </w:r>
      <w:r w:rsidR="00B963B3" w:rsidRPr="00FA158B">
        <w:t>ù</w:t>
      </w:r>
      <w:r w:rsidRPr="00FA158B">
        <w:t xml:space="preserve"> la puissance appelée par l’Utilisateur est limitée à la valeur souscrite par ce dernier, selon la norme C14-100.</w:t>
      </w:r>
      <w:r w:rsidR="00E531A5" w:rsidRPr="00FA158B">
        <w:t xml:space="preserve"> </w:t>
      </w:r>
    </w:p>
    <w:p w14:paraId="30EF616C" w14:textId="4D7136A8" w:rsidR="00F97290" w:rsidRPr="00FA158B" w:rsidRDefault="00E531A5" w:rsidP="009C3752">
      <w:r w:rsidRPr="00FA158B">
        <w:t>Il coupe le courant en cas d’incident (court-circuit</w:t>
      </w:r>
      <w:r w:rsidR="00FC2091">
        <w:t xml:space="preserve">, </w:t>
      </w:r>
      <w:r w:rsidR="00FC2091" w:rsidRPr="007C6D16">
        <w:rPr>
          <w:i/>
        </w:rPr>
        <w:t>etc.</w:t>
      </w:r>
      <w:r w:rsidRPr="00FA158B">
        <w:t xml:space="preserve">) ou lorsque l’intensité dépasse une valeur </w:t>
      </w:r>
      <w:proofErr w:type="spellStart"/>
      <w:r w:rsidRPr="00FA158B">
        <w:t>pré-réglée</w:t>
      </w:r>
      <w:proofErr w:type="spellEnd"/>
      <w:r w:rsidRPr="00FA158B">
        <w:t>. Une fois le problème résolu, le courant peut être rétabli en réarmant le disjoncteur.</w:t>
      </w:r>
    </w:p>
    <w:p w14:paraId="6A792B06" w14:textId="77777777" w:rsidR="00F97290" w:rsidRPr="00FA158B" w:rsidRDefault="00F97290" w:rsidP="009C3752">
      <w:pPr>
        <w:rPr>
          <w:b/>
        </w:rPr>
      </w:pPr>
      <w:r w:rsidRPr="00FA158B">
        <w:rPr>
          <w:b/>
        </w:rPr>
        <w:t>Dispositif de comptage</w:t>
      </w:r>
    </w:p>
    <w:p w14:paraId="45746743" w14:textId="77777777" w:rsidR="00F97290" w:rsidRPr="00FA158B" w:rsidRDefault="00F97290" w:rsidP="009C3752">
      <w:r w:rsidRPr="00FA158B">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1DAA4644" w14:textId="77777777" w:rsidR="00F97290" w:rsidRPr="00FA158B" w:rsidRDefault="00F97290" w:rsidP="009C3752">
      <w:pPr>
        <w:rPr>
          <w:b/>
        </w:rPr>
      </w:pPr>
      <w:r w:rsidRPr="00FA158B">
        <w:rPr>
          <w:b/>
        </w:rPr>
        <w:t>Domaine de Tension</w:t>
      </w:r>
    </w:p>
    <w:p w14:paraId="285658C6" w14:textId="77777777" w:rsidR="00F97290" w:rsidRPr="00FA158B" w:rsidRDefault="00F97290" w:rsidP="009C3752">
      <w:r w:rsidRPr="00FA158B">
        <w:t>Les Domaines de Tension des réseaux publics de transport et de distribution en courant alternatif sont définis, conformément au TURPE, par le tableau ci- dessous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F97290" w:rsidRPr="00FA158B" w14:paraId="16365858" w14:textId="77777777" w:rsidTr="00F97290">
        <w:trPr>
          <w:cantSplit/>
          <w:jc w:val="center"/>
        </w:trPr>
        <w:tc>
          <w:tcPr>
            <w:tcW w:w="2200" w:type="dxa"/>
            <w:tcBorders>
              <w:top w:val="single" w:sz="6" w:space="0" w:color="auto"/>
              <w:left w:val="single" w:sz="6" w:space="0" w:color="auto"/>
              <w:bottom w:val="single" w:sz="6" w:space="0" w:color="auto"/>
              <w:right w:val="nil"/>
            </w:tcBorders>
          </w:tcPr>
          <w:p w14:paraId="13987501" w14:textId="77777777" w:rsidR="00F97290" w:rsidRPr="00FA158B" w:rsidRDefault="00F97290" w:rsidP="00E347FD">
            <w:pPr>
              <w:spacing w:before="0" w:after="0"/>
              <w:jc w:val="center"/>
            </w:pPr>
            <w:r w:rsidRPr="00FA158B">
              <w:t>Tension de raccordement (U)</w:t>
            </w:r>
          </w:p>
        </w:tc>
        <w:tc>
          <w:tcPr>
            <w:tcW w:w="3450" w:type="dxa"/>
            <w:gridSpan w:val="3"/>
            <w:tcBorders>
              <w:top w:val="single" w:sz="6" w:space="0" w:color="auto"/>
              <w:left w:val="single" w:sz="6" w:space="0" w:color="auto"/>
              <w:right w:val="single" w:sz="6" w:space="0" w:color="auto"/>
            </w:tcBorders>
          </w:tcPr>
          <w:p w14:paraId="5ACD6F5E" w14:textId="77777777" w:rsidR="00F97290" w:rsidRPr="00FA158B" w:rsidRDefault="00F97290" w:rsidP="00E347FD">
            <w:pPr>
              <w:spacing w:before="0" w:after="0"/>
              <w:jc w:val="center"/>
            </w:pPr>
            <w:r w:rsidRPr="00FA158B">
              <w:t>Domaine de tension</w:t>
            </w:r>
          </w:p>
        </w:tc>
      </w:tr>
      <w:tr w:rsidR="00F97290" w:rsidRPr="00FA158B" w14:paraId="0EC48E6A" w14:textId="77777777" w:rsidTr="00A114A2">
        <w:trPr>
          <w:cantSplit/>
          <w:jc w:val="center"/>
        </w:trPr>
        <w:tc>
          <w:tcPr>
            <w:tcW w:w="2200" w:type="dxa"/>
            <w:tcBorders>
              <w:top w:val="single" w:sz="6" w:space="0" w:color="auto"/>
              <w:left w:val="single" w:sz="6" w:space="0" w:color="auto"/>
              <w:bottom w:val="single" w:sz="6" w:space="0" w:color="auto"/>
              <w:right w:val="nil"/>
            </w:tcBorders>
            <w:vAlign w:val="center"/>
          </w:tcPr>
          <w:p w14:paraId="3DE7F0B9" w14:textId="77777777" w:rsidR="00F97290" w:rsidRPr="00FA158B" w:rsidRDefault="00F97290" w:rsidP="00A114A2">
            <w:pPr>
              <w:spacing w:before="0" w:after="0"/>
              <w:jc w:val="center"/>
              <w:rPr>
                <w:lang w:val="nl-NL"/>
              </w:rPr>
            </w:pPr>
            <w:r w:rsidRPr="00FA158B">
              <w:rPr>
                <w:lang w:val="nl-NL"/>
              </w:rPr>
              <w:t>U ≤ 1 kV</w:t>
            </w:r>
          </w:p>
        </w:tc>
        <w:tc>
          <w:tcPr>
            <w:tcW w:w="1725" w:type="dxa"/>
            <w:gridSpan w:val="2"/>
            <w:tcBorders>
              <w:left w:val="single" w:sz="6" w:space="0" w:color="auto"/>
              <w:right w:val="single" w:sz="6" w:space="0" w:color="auto"/>
            </w:tcBorders>
            <w:vAlign w:val="center"/>
          </w:tcPr>
          <w:p w14:paraId="060AD15C" w14:textId="77777777" w:rsidR="00F97290" w:rsidRPr="00FA158B" w:rsidRDefault="00F97290" w:rsidP="00A114A2">
            <w:pPr>
              <w:spacing w:before="0" w:after="0"/>
              <w:jc w:val="center"/>
              <w:rPr>
                <w:lang w:val="nl-NL"/>
              </w:rPr>
            </w:pPr>
            <w:r w:rsidRPr="00FA158B">
              <w:rPr>
                <w:lang w:val="nl-NL"/>
              </w:rPr>
              <w:t>BT</w:t>
            </w:r>
          </w:p>
        </w:tc>
        <w:tc>
          <w:tcPr>
            <w:tcW w:w="1725" w:type="dxa"/>
            <w:tcBorders>
              <w:left w:val="single" w:sz="6" w:space="0" w:color="auto"/>
              <w:right w:val="single" w:sz="6" w:space="0" w:color="auto"/>
            </w:tcBorders>
            <w:vAlign w:val="center"/>
          </w:tcPr>
          <w:p w14:paraId="680E7C54" w14:textId="77777777" w:rsidR="00F97290" w:rsidRPr="00FA158B" w:rsidRDefault="00F97290" w:rsidP="00A114A2">
            <w:pPr>
              <w:spacing w:before="0" w:after="0"/>
              <w:jc w:val="center"/>
              <w:rPr>
                <w:lang w:val="nl-NL"/>
              </w:rPr>
            </w:pPr>
            <w:proofErr w:type="spellStart"/>
            <w:r w:rsidRPr="00FA158B">
              <w:rPr>
                <w:lang w:val="nl-NL"/>
              </w:rPr>
              <w:t>Domaine</w:t>
            </w:r>
            <w:proofErr w:type="spellEnd"/>
            <w:r w:rsidRPr="00FA158B">
              <w:rPr>
                <w:lang w:val="nl-NL"/>
              </w:rPr>
              <w:t xml:space="preserve"> </w:t>
            </w:r>
            <w:proofErr w:type="spellStart"/>
            <w:r w:rsidRPr="00FA158B">
              <w:rPr>
                <w:lang w:val="nl-NL"/>
              </w:rPr>
              <w:t>basse</w:t>
            </w:r>
            <w:proofErr w:type="spellEnd"/>
            <w:r w:rsidRPr="00FA158B">
              <w:rPr>
                <w:lang w:val="nl-NL"/>
              </w:rPr>
              <w:t xml:space="preserve"> </w:t>
            </w:r>
            <w:proofErr w:type="spellStart"/>
            <w:r w:rsidRPr="00FA158B">
              <w:rPr>
                <w:lang w:val="nl-NL"/>
              </w:rPr>
              <w:t>tension</w:t>
            </w:r>
            <w:proofErr w:type="spellEnd"/>
          </w:p>
        </w:tc>
      </w:tr>
      <w:tr w:rsidR="00F97290" w:rsidRPr="00FA158B" w14:paraId="1DB4E5B5" w14:textId="77777777" w:rsidTr="00A114A2">
        <w:trPr>
          <w:cantSplit/>
          <w:jc w:val="center"/>
        </w:trPr>
        <w:tc>
          <w:tcPr>
            <w:tcW w:w="2200" w:type="dxa"/>
            <w:tcBorders>
              <w:top w:val="single" w:sz="6" w:space="0" w:color="auto"/>
              <w:left w:val="single" w:sz="6" w:space="0" w:color="auto"/>
              <w:bottom w:val="single" w:sz="6" w:space="0" w:color="auto"/>
              <w:right w:val="nil"/>
            </w:tcBorders>
            <w:vAlign w:val="center"/>
          </w:tcPr>
          <w:p w14:paraId="25984191" w14:textId="77777777" w:rsidR="00F97290" w:rsidRPr="00FA158B" w:rsidRDefault="00F97290" w:rsidP="00A114A2">
            <w:pPr>
              <w:spacing w:before="0" w:after="0"/>
              <w:jc w:val="center"/>
              <w:rPr>
                <w:lang w:val="nl-NL"/>
              </w:rPr>
            </w:pPr>
            <w:r w:rsidRPr="00FA158B">
              <w:rPr>
                <w:lang w:val="nl-NL"/>
              </w:rPr>
              <w:t>1 kV &lt;U ≤ 40 kV</w:t>
            </w:r>
          </w:p>
        </w:tc>
        <w:tc>
          <w:tcPr>
            <w:tcW w:w="990" w:type="dxa"/>
            <w:tcBorders>
              <w:left w:val="single" w:sz="6" w:space="0" w:color="auto"/>
              <w:right w:val="single" w:sz="6" w:space="0" w:color="auto"/>
            </w:tcBorders>
            <w:vAlign w:val="center"/>
          </w:tcPr>
          <w:p w14:paraId="5D180EF9" w14:textId="77777777" w:rsidR="00F97290" w:rsidRPr="00FA158B" w:rsidRDefault="00F97290" w:rsidP="00A114A2">
            <w:pPr>
              <w:spacing w:before="0" w:after="0"/>
              <w:jc w:val="center"/>
              <w:rPr>
                <w:lang w:val="nl-NL"/>
              </w:rPr>
            </w:pPr>
            <w:r w:rsidRPr="00FA158B">
              <w:rPr>
                <w:lang w:val="nl-NL"/>
              </w:rPr>
              <w:t>HTA 1</w:t>
            </w:r>
          </w:p>
        </w:tc>
        <w:tc>
          <w:tcPr>
            <w:tcW w:w="735" w:type="dxa"/>
            <w:vMerge w:val="restart"/>
            <w:tcBorders>
              <w:left w:val="single" w:sz="6" w:space="0" w:color="auto"/>
              <w:right w:val="single" w:sz="6" w:space="0" w:color="auto"/>
            </w:tcBorders>
            <w:vAlign w:val="center"/>
          </w:tcPr>
          <w:p w14:paraId="7F03423E" w14:textId="77777777" w:rsidR="00F97290" w:rsidRPr="00FA158B" w:rsidRDefault="00F97290" w:rsidP="00A114A2">
            <w:pPr>
              <w:spacing w:before="0" w:after="0"/>
              <w:jc w:val="center"/>
              <w:rPr>
                <w:lang w:val="nl-NL"/>
              </w:rPr>
            </w:pPr>
            <w:r w:rsidRPr="00FA158B">
              <w:rPr>
                <w:lang w:val="nl-NL"/>
              </w:rPr>
              <w:t>HTA</w:t>
            </w:r>
          </w:p>
        </w:tc>
        <w:tc>
          <w:tcPr>
            <w:tcW w:w="1725" w:type="dxa"/>
            <w:vMerge w:val="restart"/>
            <w:tcBorders>
              <w:left w:val="single" w:sz="6" w:space="0" w:color="auto"/>
              <w:right w:val="single" w:sz="6" w:space="0" w:color="auto"/>
            </w:tcBorders>
            <w:vAlign w:val="center"/>
          </w:tcPr>
          <w:p w14:paraId="3B1131EB" w14:textId="77777777" w:rsidR="00F97290" w:rsidRPr="00FA158B" w:rsidRDefault="00F97290" w:rsidP="00A114A2">
            <w:pPr>
              <w:spacing w:before="0" w:after="0"/>
              <w:jc w:val="center"/>
              <w:rPr>
                <w:lang w:val="nl-NL"/>
              </w:rPr>
            </w:pPr>
            <w:proofErr w:type="spellStart"/>
            <w:r w:rsidRPr="00FA158B">
              <w:rPr>
                <w:lang w:val="nl-NL"/>
              </w:rPr>
              <w:t>Domaine</w:t>
            </w:r>
            <w:proofErr w:type="spellEnd"/>
            <w:r w:rsidRPr="00FA158B">
              <w:rPr>
                <w:lang w:val="nl-NL"/>
              </w:rPr>
              <w:t xml:space="preserve"> haute </w:t>
            </w:r>
            <w:proofErr w:type="spellStart"/>
            <w:r w:rsidRPr="00FA158B">
              <w:rPr>
                <w:lang w:val="nl-NL"/>
              </w:rPr>
              <w:t>tension</w:t>
            </w:r>
            <w:proofErr w:type="spellEnd"/>
          </w:p>
        </w:tc>
      </w:tr>
      <w:tr w:rsidR="00F97290" w:rsidRPr="00FA158B" w14:paraId="37A377A4" w14:textId="77777777" w:rsidTr="00A114A2">
        <w:trPr>
          <w:cantSplit/>
          <w:jc w:val="center"/>
        </w:trPr>
        <w:tc>
          <w:tcPr>
            <w:tcW w:w="2200" w:type="dxa"/>
            <w:tcBorders>
              <w:top w:val="single" w:sz="6" w:space="0" w:color="auto"/>
              <w:left w:val="single" w:sz="6" w:space="0" w:color="auto"/>
              <w:bottom w:val="single" w:sz="6" w:space="0" w:color="auto"/>
              <w:right w:val="nil"/>
            </w:tcBorders>
            <w:vAlign w:val="center"/>
          </w:tcPr>
          <w:p w14:paraId="3FDD025B" w14:textId="77777777" w:rsidR="00F97290" w:rsidRPr="00FA158B" w:rsidRDefault="00F97290" w:rsidP="00A114A2">
            <w:pPr>
              <w:spacing w:before="0" w:after="0"/>
              <w:jc w:val="center"/>
              <w:rPr>
                <w:lang w:val="nl-NL"/>
              </w:rPr>
            </w:pPr>
            <w:r w:rsidRPr="00FA158B">
              <w:rPr>
                <w:lang w:val="nl-NL"/>
              </w:rPr>
              <w:t>40 kV &lt;U ≤ 50 kV</w:t>
            </w:r>
          </w:p>
        </w:tc>
        <w:tc>
          <w:tcPr>
            <w:tcW w:w="990" w:type="dxa"/>
            <w:tcBorders>
              <w:left w:val="single" w:sz="6" w:space="0" w:color="auto"/>
              <w:bottom w:val="single" w:sz="6" w:space="0" w:color="auto"/>
              <w:right w:val="single" w:sz="6" w:space="0" w:color="auto"/>
            </w:tcBorders>
            <w:vAlign w:val="center"/>
          </w:tcPr>
          <w:p w14:paraId="1CB04057" w14:textId="77777777" w:rsidR="00F97290" w:rsidRPr="00FA158B" w:rsidRDefault="00F97290" w:rsidP="00A114A2">
            <w:pPr>
              <w:jc w:val="center"/>
              <w:rPr>
                <w:lang w:val="nl-NL"/>
              </w:rPr>
            </w:pPr>
            <w:r w:rsidRPr="00FA158B">
              <w:rPr>
                <w:lang w:val="nl-NL"/>
              </w:rPr>
              <w:t>HTA 2</w:t>
            </w:r>
          </w:p>
        </w:tc>
        <w:tc>
          <w:tcPr>
            <w:tcW w:w="735" w:type="dxa"/>
            <w:vMerge/>
            <w:tcBorders>
              <w:left w:val="single" w:sz="6" w:space="0" w:color="auto"/>
              <w:bottom w:val="single" w:sz="6" w:space="0" w:color="auto"/>
              <w:right w:val="single" w:sz="6" w:space="0" w:color="auto"/>
            </w:tcBorders>
            <w:vAlign w:val="center"/>
          </w:tcPr>
          <w:p w14:paraId="30A116EF" w14:textId="77777777" w:rsidR="00F97290" w:rsidRPr="00FA158B" w:rsidRDefault="00F97290" w:rsidP="00A114A2">
            <w:pPr>
              <w:jc w:val="center"/>
              <w:rPr>
                <w:lang w:val="nl-NL"/>
              </w:rPr>
            </w:pPr>
          </w:p>
        </w:tc>
        <w:tc>
          <w:tcPr>
            <w:tcW w:w="1725" w:type="dxa"/>
            <w:vMerge/>
            <w:tcBorders>
              <w:left w:val="single" w:sz="6" w:space="0" w:color="auto"/>
              <w:right w:val="single" w:sz="6" w:space="0" w:color="auto"/>
            </w:tcBorders>
          </w:tcPr>
          <w:p w14:paraId="2EF993AF" w14:textId="77777777" w:rsidR="00F97290" w:rsidRPr="00FA158B" w:rsidRDefault="00F97290" w:rsidP="00E347FD">
            <w:pPr>
              <w:jc w:val="center"/>
              <w:rPr>
                <w:lang w:val="nl-NL"/>
              </w:rPr>
            </w:pPr>
          </w:p>
        </w:tc>
      </w:tr>
      <w:tr w:rsidR="00F97290" w:rsidRPr="00FA158B" w14:paraId="14DE759A" w14:textId="77777777" w:rsidTr="00A114A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1531AAF8" w14:textId="77777777" w:rsidR="00F97290" w:rsidRPr="00FA158B" w:rsidRDefault="00F97290" w:rsidP="00A114A2">
            <w:pPr>
              <w:jc w:val="center"/>
              <w:rPr>
                <w:lang w:val="nl-NL"/>
              </w:rPr>
            </w:pPr>
            <w:r w:rsidRPr="00FA158B">
              <w:rPr>
                <w:lang w:val="nl-NL"/>
              </w:rPr>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2D789E26" w14:textId="77777777" w:rsidR="00F97290" w:rsidRPr="00FA158B" w:rsidRDefault="00F97290" w:rsidP="00A114A2">
            <w:pPr>
              <w:jc w:val="center"/>
              <w:rPr>
                <w:lang w:val="nl-NL"/>
              </w:rPr>
            </w:pPr>
            <w:r w:rsidRPr="00FA158B">
              <w:rPr>
                <w:lang w:val="nl-NL"/>
              </w:rPr>
              <w:t>HTB 1</w:t>
            </w:r>
          </w:p>
        </w:tc>
        <w:tc>
          <w:tcPr>
            <w:tcW w:w="735" w:type="dxa"/>
            <w:tcBorders>
              <w:top w:val="single" w:sz="6" w:space="0" w:color="auto"/>
              <w:left w:val="single" w:sz="6" w:space="0" w:color="auto"/>
              <w:bottom w:val="nil"/>
              <w:right w:val="single" w:sz="6" w:space="0" w:color="auto"/>
            </w:tcBorders>
            <w:vAlign w:val="center"/>
          </w:tcPr>
          <w:p w14:paraId="0757D82C" w14:textId="77777777" w:rsidR="00F97290" w:rsidRPr="00FA158B" w:rsidRDefault="00F97290" w:rsidP="00A114A2">
            <w:pPr>
              <w:jc w:val="center"/>
              <w:rPr>
                <w:lang w:val="nl-NL"/>
              </w:rPr>
            </w:pPr>
          </w:p>
        </w:tc>
        <w:tc>
          <w:tcPr>
            <w:tcW w:w="1725" w:type="dxa"/>
            <w:vMerge/>
            <w:tcBorders>
              <w:left w:val="single" w:sz="6" w:space="0" w:color="auto"/>
              <w:right w:val="single" w:sz="6" w:space="0" w:color="auto"/>
            </w:tcBorders>
          </w:tcPr>
          <w:p w14:paraId="500CC495" w14:textId="77777777" w:rsidR="00F97290" w:rsidRPr="00FA158B" w:rsidRDefault="00F97290" w:rsidP="009C3752">
            <w:pPr>
              <w:rPr>
                <w:lang w:val="nl-NL"/>
              </w:rPr>
            </w:pPr>
          </w:p>
        </w:tc>
      </w:tr>
      <w:tr w:rsidR="00F97290" w:rsidRPr="00FA158B" w14:paraId="26674116" w14:textId="77777777" w:rsidTr="00A114A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355256E2" w14:textId="77777777" w:rsidR="00F97290" w:rsidRPr="00FA158B" w:rsidRDefault="00F97290" w:rsidP="00A114A2">
            <w:pPr>
              <w:jc w:val="center"/>
              <w:rPr>
                <w:lang w:val="nl-NL"/>
              </w:rPr>
            </w:pPr>
            <w:r w:rsidRPr="00FA158B">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32DBEFF3" w14:textId="77777777" w:rsidR="00F97290" w:rsidRPr="00FA158B" w:rsidRDefault="00F97290" w:rsidP="00A114A2">
            <w:pPr>
              <w:jc w:val="center"/>
              <w:rPr>
                <w:lang w:val="nl-NL"/>
              </w:rPr>
            </w:pPr>
            <w:r w:rsidRPr="00FA158B">
              <w:rPr>
                <w:lang w:val="nl-NL"/>
              </w:rPr>
              <w:t>HTB 2</w:t>
            </w:r>
          </w:p>
        </w:tc>
        <w:tc>
          <w:tcPr>
            <w:tcW w:w="735" w:type="dxa"/>
            <w:tcBorders>
              <w:top w:val="nil"/>
              <w:left w:val="single" w:sz="6" w:space="0" w:color="auto"/>
              <w:bottom w:val="nil"/>
              <w:right w:val="single" w:sz="6" w:space="0" w:color="auto"/>
            </w:tcBorders>
            <w:vAlign w:val="center"/>
          </w:tcPr>
          <w:p w14:paraId="3A90FA92" w14:textId="77777777" w:rsidR="00F97290" w:rsidRPr="00FA158B" w:rsidRDefault="00F97290" w:rsidP="00A114A2">
            <w:pPr>
              <w:jc w:val="center"/>
              <w:rPr>
                <w:lang w:val="nl-NL"/>
              </w:rPr>
            </w:pPr>
            <w:r w:rsidRPr="00FA158B">
              <w:rPr>
                <w:lang w:val="nl-NL"/>
              </w:rPr>
              <w:t>HTB</w:t>
            </w:r>
          </w:p>
        </w:tc>
        <w:tc>
          <w:tcPr>
            <w:tcW w:w="1725" w:type="dxa"/>
            <w:vMerge/>
            <w:tcBorders>
              <w:left w:val="single" w:sz="6" w:space="0" w:color="auto"/>
              <w:right w:val="single" w:sz="6" w:space="0" w:color="auto"/>
            </w:tcBorders>
          </w:tcPr>
          <w:p w14:paraId="66E97CD7" w14:textId="77777777" w:rsidR="00F97290" w:rsidRPr="00FA158B" w:rsidRDefault="00F97290" w:rsidP="009C3752">
            <w:pPr>
              <w:rPr>
                <w:lang w:val="nl-NL"/>
              </w:rPr>
            </w:pPr>
          </w:p>
        </w:tc>
      </w:tr>
      <w:tr w:rsidR="00F97290" w:rsidRPr="00FA158B" w14:paraId="14A4F92B" w14:textId="77777777" w:rsidTr="00A114A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6238C1EE" w14:textId="77777777" w:rsidR="00F97290" w:rsidRPr="00FA158B" w:rsidRDefault="00F97290" w:rsidP="00A114A2">
            <w:pPr>
              <w:jc w:val="center"/>
              <w:rPr>
                <w:lang w:val="nl-NL"/>
              </w:rPr>
            </w:pPr>
            <w:r w:rsidRPr="00FA158B">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3674B89B" w14:textId="77777777" w:rsidR="00F97290" w:rsidRPr="00FA158B" w:rsidRDefault="00F97290" w:rsidP="00A114A2">
            <w:pPr>
              <w:jc w:val="center"/>
            </w:pPr>
            <w:r w:rsidRPr="00FA158B">
              <w:t>HTB 3</w:t>
            </w:r>
          </w:p>
        </w:tc>
        <w:tc>
          <w:tcPr>
            <w:tcW w:w="735" w:type="dxa"/>
            <w:tcBorders>
              <w:top w:val="nil"/>
              <w:left w:val="single" w:sz="6" w:space="0" w:color="auto"/>
              <w:bottom w:val="single" w:sz="6" w:space="0" w:color="auto"/>
              <w:right w:val="single" w:sz="6" w:space="0" w:color="auto"/>
            </w:tcBorders>
          </w:tcPr>
          <w:p w14:paraId="36DAD06D" w14:textId="77777777" w:rsidR="00F97290" w:rsidRPr="00FA158B" w:rsidRDefault="00F97290" w:rsidP="009C3752"/>
        </w:tc>
        <w:tc>
          <w:tcPr>
            <w:tcW w:w="1725" w:type="dxa"/>
            <w:vMerge/>
            <w:tcBorders>
              <w:left w:val="single" w:sz="6" w:space="0" w:color="auto"/>
              <w:bottom w:val="single" w:sz="6" w:space="0" w:color="auto"/>
              <w:right w:val="single" w:sz="6" w:space="0" w:color="auto"/>
            </w:tcBorders>
          </w:tcPr>
          <w:p w14:paraId="037AAF55" w14:textId="77777777" w:rsidR="00F97290" w:rsidRPr="00FA158B" w:rsidRDefault="00F97290" w:rsidP="009C3752"/>
        </w:tc>
      </w:tr>
    </w:tbl>
    <w:p w14:paraId="17F79D52" w14:textId="77777777" w:rsidR="00F97290" w:rsidRPr="00FA158B" w:rsidRDefault="00F97290" w:rsidP="009C3752">
      <w:pPr>
        <w:rPr>
          <w:b/>
        </w:rPr>
      </w:pPr>
      <w:r w:rsidRPr="00FA158B">
        <w:rPr>
          <w:b/>
        </w:rPr>
        <w:t>Données Brutes</w:t>
      </w:r>
    </w:p>
    <w:p w14:paraId="115B1D32" w14:textId="77777777" w:rsidR="00F97290" w:rsidRPr="00FA158B" w:rsidRDefault="00F97290" w:rsidP="009C3752">
      <w:r w:rsidRPr="00FA158B">
        <w:t>Données de comptage issues du Compteur et n’ayant fait l’objet d’aucun traitement en dehors de ceux réalisés par le Compteur. Selon le type de Compteur installé, ces données peuvent ne pas tenir compte des corrections éventuelles, comme par exemple celles liées à la position du comptage par rapport au transformateur de puissance.</w:t>
      </w:r>
    </w:p>
    <w:p w14:paraId="2C115876" w14:textId="2938F051" w:rsidR="00354D79" w:rsidRPr="000E77FF" w:rsidRDefault="005D0D2B" w:rsidP="009C3752">
      <w:pPr>
        <w:rPr>
          <w:b/>
          <w:color w:val="auto"/>
        </w:rPr>
      </w:pPr>
      <w:r w:rsidRPr="00C46323">
        <w:rPr>
          <w:b/>
        </w:rPr>
        <w:t>Gestionnaire du Réseau de Distribution (</w:t>
      </w:r>
      <w:r w:rsidR="0076712A" w:rsidRPr="00C46323">
        <w:rPr>
          <w:b/>
          <w:color w:val="auto"/>
        </w:rPr>
        <w:t>GRD</w:t>
      </w:r>
      <w:r w:rsidRPr="00C46323">
        <w:rPr>
          <w:b/>
          <w:color w:val="auto"/>
        </w:rPr>
        <w:t>)</w:t>
      </w:r>
      <w:r w:rsidR="000E77FF" w:rsidRPr="00C46323">
        <w:rPr>
          <w:b/>
          <w:color w:val="auto"/>
        </w:rPr>
        <w:t xml:space="preserve"> : Régie Electrique de </w:t>
      </w:r>
      <w:proofErr w:type="gramStart"/>
      <w:r w:rsidR="00C46323" w:rsidRPr="00C46323">
        <w:rPr>
          <w:b/>
          <w:color w:val="auto"/>
        </w:rPr>
        <w:t>Tignes</w:t>
      </w:r>
      <w:r w:rsidR="000E77FF" w:rsidRPr="00C46323">
        <w:rPr>
          <w:b/>
          <w:color w:val="auto"/>
        </w:rPr>
        <w:t xml:space="preserve"> </w:t>
      </w:r>
      <w:r w:rsidR="00354D79" w:rsidRPr="00C46323">
        <w:rPr>
          <w:b/>
          <w:color w:val="auto"/>
        </w:rPr>
        <w:t xml:space="preserve"> (</w:t>
      </w:r>
      <w:proofErr w:type="gramEnd"/>
      <w:r w:rsidR="00354D79" w:rsidRPr="00C46323">
        <w:rPr>
          <w:b/>
          <w:color w:val="auto"/>
        </w:rPr>
        <w:t xml:space="preserve"> RE</w:t>
      </w:r>
      <w:r w:rsidR="00C46323" w:rsidRPr="00C46323">
        <w:rPr>
          <w:b/>
          <w:color w:val="auto"/>
        </w:rPr>
        <w:t>T</w:t>
      </w:r>
      <w:r w:rsidR="00354D79" w:rsidRPr="00C46323">
        <w:rPr>
          <w:b/>
          <w:color w:val="auto"/>
        </w:rPr>
        <w:t xml:space="preserve"> )</w:t>
      </w:r>
    </w:p>
    <w:p w14:paraId="11C58AEF" w14:textId="7CD7252C" w:rsidR="00E76F56" w:rsidRDefault="00F97290" w:rsidP="009C3752">
      <w:r w:rsidRPr="00FA158B">
        <w:t>Désigne le Gestionnaire du Réseau Public de Distribution</w:t>
      </w:r>
      <w:r w:rsidR="005D0D2B">
        <w:t xml:space="preserve"> d’Electricité</w:t>
      </w:r>
      <w:r w:rsidRPr="00FA158B">
        <w:t xml:space="preserve">. </w:t>
      </w:r>
    </w:p>
    <w:p w14:paraId="151D590D" w14:textId="77777777" w:rsidR="00F97290" w:rsidRPr="00FA158B" w:rsidRDefault="00F97290" w:rsidP="009C3752">
      <w:pPr>
        <w:rPr>
          <w:b/>
        </w:rPr>
      </w:pPr>
      <w:r w:rsidRPr="00FA158B">
        <w:rPr>
          <w:b/>
        </w:rPr>
        <w:lastRenderedPageBreak/>
        <w:t>Fenêtre d'Appel (ou Fenêtre d'Ecoute)</w:t>
      </w:r>
    </w:p>
    <w:p w14:paraId="21EE1713" w14:textId="77777777" w:rsidR="00F97290" w:rsidRPr="00FA158B" w:rsidRDefault="00F97290" w:rsidP="009C3752">
      <w:r w:rsidRPr="00FA158B">
        <w:t>Plage horaire pendant laquelle certains Compteurs sont accessibles à une interrogation distante pour des opérations de relevé. On parle plutôt de "Fenêtre d'Ecoute" pour le Dispositif de comptage, et de "Fenêtre d'Appel" pour le système appelant.</w:t>
      </w:r>
    </w:p>
    <w:p w14:paraId="45F7F517" w14:textId="77777777" w:rsidR="00F97290" w:rsidRPr="00FA158B" w:rsidRDefault="00F97290" w:rsidP="009C3752">
      <w:pPr>
        <w:rPr>
          <w:b/>
        </w:rPr>
      </w:pPr>
      <w:r w:rsidRPr="00FA158B">
        <w:rPr>
          <w:b/>
        </w:rPr>
        <w:t>Fluctuations Lentes de la Tension</w:t>
      </w:r>
    </w:p>
    <w:p w14:paraId="54824E3E" w14:textId="64BA0909" w:rsidR="00F97290" w:rsidRPr="00FA158B" w:rsidRDefault="00F97290" w:rsidP="009C3752">
      <w:r w:rsidRPr="00FA158B">
        <w:t>Couvrent les phénomènes où la valeur efficace de la tension de mise à disposition (</w:t>
      </w:r>
      <w:proofErr w:type="spellStart"/>
      <w:r w:rsidRPr="00FA158B">
        <w:t>U</w:t>
      </w:r>
      <w:r w:rsidRPr="00FA158B">
        <w:rPr>
          <w:vertAlign w:val="subscript"/>
        </w:rPr>
        <w:t>f</w:t>
      </w:r>
      <w:proofErr w:type="spellEnd"/>
      <w:r w:rsidRPr="00FA158B">
        <w:t>) évolue de quelques pourcents autour de la Tension Contractuelle (</w:t>
      </w:r>
      <w:proofErr w:type="spellStart"/>
      <w:r w:rsidRPr="00FA158B">
        <w:t>U</w:t>
      </w:r>
      <w:r w:rsidRPr="00FA158B">
        <w:rPr>
          <w:vertAlign w:val="subscript"/>
        </w:rPr>
        <w:t>c</w:t>
      </w:r>
      <w:proofErr w:type="spellEnd"/>
      <w:r w:rsidRPr="00FA158B">
        <w:t xml:space="preserve">),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w:t>
      </w:r>
      <w:r w:rsidR="0076712A">
        <w:t>du GRD</w:t>
      </w:r>
      <w:r w:rsidRPr="00FA158B">
        <w:t xml:space="preserve"> contribuent à limiter ces fluctuations.</w:t>
      </w:r>
    </w:p>
    <w:p w14:paraId="26008707" w14:textId="77777777" w:rsidR="00F97290" w:rsidRPr="00FA158B" w:rsidRDefault="00F97290" w:rsidP="009C3752">
      <w:pPr>
        <w:rPr>
          <w:b/>
        </w:rPr>
      </w:pPr>
      <w:r w:rsidRPr="00FA158B">
        <w:rPr>
          <w:b/>
        </w:rPr>
        <w:t>Fournisseur</w:t>
      </w:r>
    </w:p>
    <w:p w14:paraId="7D48DD99" w14:textId="4FF98871" w:rsidR="00F97290" w:rsidRPr="00FA158B" w:rsidRDefault="00F97290" w:rsidP="009C3752">
      <w:r w:rsidRPr="00FA158B">
        <w:t xml:space="preserve">Entité qui dispose d’une autorisation d’achat pour revente d’électricité conformément à l’article L331-1 du code de l’énergie, et est signataire d’un contrat GRD-F avec </w:t>
      </w:r>
      <w:r w:rsidR="0076712A">
        <w:t>le GRD</w:t>
      </w:r>
      <w:r w:rsidRPr="00FA158B">
        <w:t xml:space="preserve">, en vue de proposer aux Clients un Contrat Unique. </w:t>
      </w:r>
    </w:p>
    <w:p w14:paraId="6F6A306A" w14:textId="77777777" w:rsidR="00F97290" w:rsidRPr="00FA158B" w:rsidRDefault="00F97290" w:rsidP="009C3752">
      <w:pPr>
        <w:rPr>
          <w:b/>
        </w:rPr>
      </w:pPr>
      <w:r w:rsidRPr="00FA158B">
        <w:rPr>
          <w:b/>
        </w:rPr>
        <w:t>Fourniture Déclarée</w:t>
      </w:r>
    </w:p>
    <w:p w14:paraId="57D039D5" w14:textId="77777777" w:rsidR="00F97290" w:rsidRPr="00FA158B" w:rsidRDefault="00F97290" w:rsidP="009C3752">
      <w:r w:rsidRPr="00FA158B">
        <w:t>Quantité d’énergie déclarée par un Utilisateur, correspondant à un programme de puissances prédéterminées par pas horaire ou demi-horaire et rattachée comme injection ou soutirage au Périmètre d’un Responsable d’Equilibre.</w:t>
      </w:r>
    </w:p>
    <w:p w14:paraId="6A478CCC" w14:textId="77777777" w:rsidR="00F97290" w:rsidRPr="00FA158B" w:rsidRDefault="00F97290" w:rsidP="009C3752">
      <w:pPr>
        <w:rPr>
          <w:b/>
        </w:rPr>
      </w:pPr>
      <w:r w:rsidRPr="00FA158B">
        <w:rPr>
          <w:b/>
        </w:rPr>
        <w:t>Fréquence</w:t>
      </w:r>
    </w:p>
    <w:p w14:paraId="55F167F1" w14:textId="77777777" w:rsidR="00F97290" w:rsidRPr="00FA158B" w:rsidRDefault="00F97290" w:rsidP="009C3752">
      <w:r w:rsidRPr="00FA158B">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292D6FBB" w14:textId="77777777" w:rsidR="00F97290" w:rsidRPr="00FA158B" w:rsidRDefault="00F97290" w:rsidP="009C3752">
      <w:pPr>
        <w:rPr>
          <w:b/>
        </w:rPr>
      </w:pPr>
      <w:r w:rsidRPr="00FA158B">
        <w:rPr>
          <w:b/>
        </w:rPr>
        <w:t>Gestionnaire du Réseau de Distribution (GRD)</w:t>
      </w:r>
    </w:p>
    <w:p w14:paraId="4F2410FB" w14:textId="77777777" w:rsidR="00F97290" w:rsidRPr="00FA158B" w:rsidRDefault="00F97290" w:rsidP="009C3752">
      <w:r w:rsidRPr="00FA158B">
        <w:t>Toute personne morale responsable de l’exploitation, de l’entretien et</w:t>
      </w:r>
      <w:r w:rsidR="00E33246" w:rsidRPr="00FA158B">
        <w:t xml:space="preserve"> </w:t>
      </w:r>
      <w:r w:rsidRPr="00FA158B">
        <w:t>du développement du RPD dans une zone donnée et, le cas échéant, de l’interconnexion avec d’autres réseaux, ainsi que de garantir la capacité à long terme du réseau à satisfaire une demande raisonnable de distribution d’électricité.</w:t>
      </w:r>
    </w:p>
    <w:p w14:paraId="35AC41EE" w14:textId="77777777" w:rsidR="00F97290" w:rsidRPr="00FA158B" w:rsidRDefault="00F97290" w:rsidP="009C3752">
      <w:pPr>
        <w:rPr>
          <w:b/>
        </w:rPr>
      </w:pPr>
      <w:r w:rsidRPr="00FA158B">
        <w:rPr>
          <w:b/>
        </w:rPr>
        <w:t>Index</w:t>
      </w:r>
    </w:p>
    <w:p w14:paraId="2C6A0BA6" w14:textId="77777777" w:rsidR="00F97290" w:rsidRPr="00FA158B" w:rsidRDefault="00F97290" w:rsidP="009C3752">
      <w:r w:rsidRPr="00FA158B">
        <w:t>Valeur enregistrée et relevée sur un Compteur à une date donnée ou valeur estimée à une date donnée.</w:t>
      </w:r>
    </w:p>
    <w:p w14:paraId="05C9A9E2" w14:textId="77777777" w:rsidR="00B4181E" w:rsidRPr="0002691D" w:rsidRDefault="00B4181E" w:rsidP="00B4181E">
      <w:pPr>
        <w:rPr>
          <w:b/>
        </w:rPr>
      </w:pPr>
      <w:r w:rsidRPr="0002691D">
        <w:rPr>
          <w:b/>
        </w:rPr>
        <w:t>Installation de Production</w:t>
      </w:r>
    </w:p>
    <w:p w14:paraId="2486F95A" w14:textId="77777777" w:rsidR="00B4181E" w:rsidRDefault="00B4181E" w:rsidP="00B4181E">
      <w:pPr>
        <w:spacing w:after="0"/>
      </w:pPr>
      <w:r w:rsidRPr="0002691D">
        <w:t>Désigne l’ensemble des équipements destinés exclusivement à la production d’électricité en autoconsommation sur le site du Client.</w:t>
      </w:r>
    </w:p>
    <w:p w14:paraId="6918B8A6" w14:textId="794681F8" w:rsidR="00B4181E" w:rsidRPr="0002691D" w:rsidRDefault="00B4181E" w:rsidP="00B4181E">
      <w:pPr>
        <w:spacing w:after="0"/>
      </w:pPr>
      <w:r>
        <w:t xml:space="preserve">Si le Client souhaite injecter sur le RPD du GRD, il doit se rapprocher du GRD afin de signer un contrat d’accès au RPD au titre de l’injection (dénommés, à date de publication du présent contrat, Contrat d’Accès et d’Exploitation pour une Installation de Production de puissance </w:t>
      </w:r>
      <w:r>
        <w:rPr>
          <w:u w:val="single"/>
        </w:rPr>
        <w:t>&lt;</w:t>
      </w:r>
      <w:r>
        <w:t xml:space="preserve"> 36 kVA raccordée au Réseau Public de Distribution Basse Tension (CAE) ou </w:t>
      </w:r>
      <w:r w:rsidRPr="00B4181E">
        <w:t xml:space="preserve">Contrat d’accès au Réseau Public de Distribution pour une Installation de Production </w:t>
      </w:r>
      <w:r>
        <w:t>(CARD-I) de puissance &gt; 36 kVA raccordée en Basse Tension</w:t>
      </w:r>
      <w:r w:rsidRPr="00B4181E">
        <w:t xml:space="preserve"> </w:t>
      </w:r>
      <w:r>
        <w:t xml:space="preserve">ou </w:t>
      </w:r>
      <w:r w:rsidRPr="00B4181E">
        <w:t>raccordée en HTA</w:t>
      </w:r>
      <w:r>
        <w:t>).</w:t>
      </w:r>
    </w:p>
    <w:p w14:paraId="7B4D9E04" w14:textId="77777777" w:rsidR="00F97290" w:rsidRPr="00FA158B" w:rsidRDefault="00F97290" w:rsidP="009C3752">
      <w:pPr>
        <w:rPr>
          <w:b/>
        </w:rPr>
      </w:pPr>
      <w:r w:rsidRPr="00FA158B">
        <w:rPr>
          <w:b/>
        </w:rPr>
        <w:t>Périmètre d’Equilibre ou Périmètre-RPD du Responsable d’Equilibre</w:t>
      </w:r>
    </w:p>
    <w:p w14:paraId="6BB400ED" w14:textId="77777777" w:rsidR="00F97290" w:rsidRDefault="00F97290" w:rsidP="009C3752">
      <w:r w:rsidRPr="00FA158B">
        <w:t>Ensemble de Sites d’injection et de soutirage rattachés à un Responsable d’Equilibre.</w:t>
      </w:r>
    </w:p>
    <w:p w14:paraId="73947F80" w14:textId="77777777" w:rsidR="00F97290" w:rsidRPr="00FA158B" w:rsidRDefault="00F97290" w:rsidP="009C3752">
      <w:pPr>
        <w:rPr>
          <w:b/>
        </w:rPr>
      </w:pPr>
      <w:r w:rsidRPr="00FA158B">
        <w:rPr>
          <w:b/>
        </w:rPr>
        <w:t xml:space="preserve">Périmètre de Facturation </w:t>
      </w:r>
    </w:p>
    <w:p w14:paraId="22EC5800" w14:textId="32F43FA7" w:rsidR="00F31E24" w:rsidRPr="00FA158B" w:rsidRDefault="00F31E24" w:rsidP="00F31E24">
      <w:r w:rsidRPr="00FA158B">
        <w:t xml:space="preserve">Au sens du Contrat GRD-Fournisseur, ensemble des Points de Livraison des Clients disposant d’un Contrat Unique avec un Fournisseur et raccordés au RPD géré par </w:t>
      </w:r>
      <w:r w:rsidR="0076712A">
        <w:t>le GRD</w:t>
      </w:r>
      <w:r w:rsidRPr="00FA158B">
        <w:t xml:space="preserve">, faisant foi pour la facturation de l'utilisation du Réseau au titre du présent contrat. Il est identifié par un code EIC unique attribué par RTE. </w:t>
      </w:r>
    </w:p>
    <w:p w14:paraId="621C35E3" w14:textId="77777777" w:rsidR="00F97290" w:rsidRPr="00FA158B" w:rsidRDefault="00F97290" w:rsidP="009C3752">
      <w:pPr>
        <w:rPr>
          <w:b/>
        </w:rPr>
      </w:pPr>
      <w:r w:rsidRPr="00FA158B">
        <w:rPr>
          <w:b/>
        </w:rPr>
        <w:t>Période de Référence</w:t>
      </w:r>
    </w:p>
    <w:p w14:paraId="58B569D9" w14:textId="69F2C059" w:rsidR="00F31E24" w:rsidRPr="00FA158B" w:rsidRDefault="00F97290" w:rsidP="009C3752">
      <w:r w:rsidRPr="00FA158B">
        <w:t>Durée de validité d'une Puissance Souscrite au titre de la tarification d'utilisation des Réseaux.</w:t>
      </w:r>
    </w:p>
    <w:p w14:paraId="33014A40" w14:textId="77777777" w:rsidR="00E76F56" w:rsidRPr="0002691D" w:rsidRDefault="00E76F56" w:rsidP="00E76F56">
      <w:pPr>
        <w:rPr>
          <w:b/>
        </w:rPr>
      </w:pPr>
      <w:r>
        <w:rPr>
          <w:b/>
        </w:rPr>
        <w:lastRenderedPageBreak/>
        <w:t>Plage</w:t>
      </w:r>
      <w:r w:rsidRPr="0002691D">
        <w:rPr>
          <w:b/>
        </w:rPr>
        <w:t xml:space="preserve"> Temporelle</w:t>
      </w:r>
    </w:p>
    <w:p w14:paraId="538A40E1" w14:textId="77777777" w:rsidR="00E76F56" w:rsidRDefault="00E76F56" w:rsidP="00E76F56">
      <w:r>
        <w:t>Pour tout tarif d’utilisation des réseaux publics d’électricité, on appelle Plage Temporelle l’</w:t>
      </w:r>
      <w:r w:rsidRPr="0002691D">
        <w:t xml:space="preserve">ensemble des heures de l'année durant lesquelles le même </w:t>
      </w:r>
      <w:r>
        <w:t xml:space="preserve">coefficient tarifaire </w:t>
      </w:r>
      <w:r w:rsidRPr="0002691D">
        <w:t>s'applique.</w:t>
      </w:r>
      <w:r>
        <w:t xml:space="preserve"> </w:t>
      </w:r>
    </w:p>
    <w:p w14:paraId="42AA9428" w14:textId="77777777" w:rsidR="00F97290" w:rsidRPr="00FA158B" w:rsidRDefault="00F97290" w:rsidP="009C3752">
      <w:pPr>
        <w:rPr>
          <w:b/>
        </w:rPr>
      </w:pPr>
      <w:r w:rsidRPr="00FA158B">
        <w:rPr>
          <w:b/>
        </w:rPr>
        <w:t>Plate-forme d’échanges :</w:t>
      </w:r>
    </w:p>
    <w:p w14:paraId="6EC2EADD" w14:textId="32FE24A7" w:rsidR="00E347FD" w:rsidRPr="00FA158B" w:rsidRDefault="00F97290" w:rsidP="009C3752">
      <w:pPr>
        <w:rPr>
          <w:b/>
        </w:rPr>
      </w:pPr>
      <w:r w:rsidRPr="00FA158B">
        <w:t>Désigne l’environnement informatique (</w:t>
      </w:r>
      <w:proofErr w:type="spellStart"/>
      <w:r w:rsidRPr="00FA158B">
        <w:t>Front-office</w:t>
      </w:r>
      <w:proofErr w:type="spellEnd"/>
      <w:r w:rsidRPr="00FA158B">
        <w:t xml:space="preserve">) </w:t>
      </w:r>
      <w:r w:rsidR="0076712A">
        <w:t>que le GRD</w:t>
      </w:r>
      <w:r w:rsidRPr="00FA158B">
        <w:t xml:space="preserve"> rend accessible au Fournisseur et qui héberge les services dédiés </w:t>
      </w:r>
      <w:r w:rsidR="0076712A">
        <w:t>du GRD</w:t>
      </w:r>
      <w:r w:rsidRPr="00FA158B">
        <w:t xml:space="preserve"> pour l’exécution du présent contrat.</w:t>
      </w:r>
    </w:p>
    <w:p w14:paraId="46B91A91" w14:textId="77777777" w:rsidR="00F97290" w:rsidRPr="00FA158B" w:rsidRDefault="00F97290" w:rsidP="009C3752">
      <w:pPr>
        <w:rPr>
          <w:b/>
        </w:rPr>
      </w:pPr>
      <w:r w:rsidRPr="00FA158B">
        <w:rPr>
          <w:b/>
        </w:rPr>
        <w:t>Point de Comptage (PDC)</w:t>
      </w:r>
    </w:p>
    <w:p w14:paraId="463D174C" w14:textId="77777777" w:rsidR="00F97290" w:rsidRPr="00FA158B" w:rsidRDefault="00F97290" w:rsidP="009C3752">
      <w:r w:rsidRPr="00FA158B">
        <w:t>Point physique où sont placés les Compteurs ou, le cas échéant, les transformateurs de mesures destinés au comptage de l’énergie.</w:t>
      </w:r>
    </w:p>
    <w:p w14:paraId="30B3AAA8" w14:textId="77777777" w:rsidR="00F97290" w:rsidRPr="00FA158B" w:rsidRDefault="00F97290" w:rsidP="009C3752">
      <w:pPr>
        <w:rPr>
          <w:b/>
        </w:rPr>
      </w:pPr>
      <w:r w:rsidRPr="00FA158B">
        <w:rPr>
          <w:b/>
        </w:rPr>
        <w:t xml:space="preserve">Point de Connexion </w:t>
      </w:r>
    </w:p>
    <w:p w14:paraId="77A6C605" w14:textId="77777777" w:rsidR="00F97290" w:rsidRPr="00FA158B" w:rsidRDefault="00F97290" w:rsidP="009C3752">
      <w:r w:rsidRPr="00FA158B">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5407A999" w14:textId="77777777" w:rsidR="00F97290" w:rsidRPr="00FA158B" w:rsidRDefault="00F97290" w:rsidP="009C3752">
      <w:pPr>
        <w:rPr>
          <w:b/>
        </w:rPr>
      </w:pPr>
      <w:r w:rsidRPr="00FA158B">
        <w:rPr>
          <w:b/>
        </w:rPr>
        <w:t xml:space="preserve">Point de Livraison (PDL) </w:t>
      </w:r>
    </w:p>
    <w:p w14:paraId="45022F1E" w14:textId="77777777" w:rsidR="00F97290" w:rsidRPr="00FA158B" w:rsidRDefault="00F97290" w:rsidP="009C3752">
      <w:r w:rsidRPr="00FA158B">
        <w:t xml:space="preserve">Point physique convenu entre un Utilisateur et </w:t>
      </w:r>
      <w:proofErr w:type="gramStart"/>
      <w:r w:rsidRPr="00FA158B">
        <w:t>un GRD</w:t>
      </w:r>
      <w:proofErr w:type="gramEnd"/>
      <w:r w:rsidRPr="00FA158B">
        <w:t xml:space="preserve">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7FD6783F" w14:textId="77777777" w:rsidR="00F97290" w:rsidRPr="00FA158B" w:rsidRDefault="00F97290" w:rsidP="009C3752">
      <w:pPr>
        <w:rPr>
          <w:b/>
        </w:rPr>
      </w:pPr>
      <w:r w:rsidRPr="00FA158B">
        <w:rPr>
          <w:b/>
        </w:rPr>
        <w:t>Point Référence Mesure (PRM)</w:t>
      </w:r>
    </w:p>
    <w:p w14:paraId="61D00DBC" w14:textId="5AD0ECF0" w:rsidR="00F97290" w:rsidRPr="00FA158B" w:rsidRDefault="00F97290" w:rsidP="009C3752">
      <w:r w:rsidRPr="00FA158B">
        <w:t xml:space="preserve">Identifiant unique à 14 chiffres utilisé pour repérer le Point de Connexion d’une façon commune au Fournisseur et </w:t>
      </w:r>
      <w:r w:rsidR="0076712A">
        <w:t>au GRD</w:t>
      </w:r>
      <w:r w:rsidRPr="00FA158B">
        <w:t>. Pour les Clients BT≤36 kVA, le numéro de PDL correspond au numéro de PRM.</w:t>
      </w:r>
    </w:p>
    <w:p w14:paraId="05ABC117" w14:textId="77777777" w:rsidR="00F97290" w:rsidRPr="00FA158B" w:rsidRDefault="00F97290" w:rsidP="009C3752">
      <w:pPr>
        <w:rPr>
          <w:b/>
        </w:rPr>
      </w:pPr>
      <w:r w:rsidRPr="00FA158B">
        <w:rPr>
          <w:b/>
        </w:rPr>
        <w:t>Puissance Limite</w:t>
      </w:r>
    </w:p>
    <w:p w14:paraId="291B3007" w14:textId="77777777" w:rsidR="00F97290" w:rsidRPr="00FA158B" w:rsidRDefault="00F97290" w:rsidP="009C3752">
      <w:r w:rsidRPr="00FA158B">
        <w:t>La Puissance Limite est déterminée par le Domaine de Tension de raccordement, conformément à l’arrêté du 17 mars 2003 relatif aux prescriptions techniques de conception et de fonctionnement pour le raccordement au réseau public de distribution d'une installation de consommation d'énergie électrique.</w:t>
      </w:r>
    </w:p>
    <w:p w14:paraId="130E3784" w14:textId="77777777" w:rsidR="00F97290" w:rsidRPr="00FA158B" w:rsidRDefault="00F97290" w:rsidP="009C3752">
      <w:r w:rsidRPr="00FA158B">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2374748F" w14:textId="77777777" w:rsidR="00F97290" w:rsidRPr="00FA158B" w:rsidRDefault="00F97290" w:rsidP="009C3752">
      <w:r w:rsidRPr="00FA158B">
        <w:t>Pour le Domaine BT&gt;36 kVA, cette puissance est égale à 250 kVA.</w:t>
      </w:r>
    </w:p>
    <w:p w14:paraId="45A84EDE" w14:textId="77777777" w:rsidR="00F97290" w:rsidRPr="00FA158B" w:rsidRDefault="00F97290" w:rsidP="009C3752">
      <w:pPr>
        <w:rPr>
          <w:b/>
        </w:rPr>
      </w:pPr>
      <w:r w:rsidRPr="00FA158B">
        <w:rPr>
          <w:b/>
        </w:rPr>
        <w:t>Puissance de Raccordement</w:t>
      </w:r>
    </w:p>
    <w:p w14:paraId="64E667F9" w14:textId="77777777" w:rsidR="00F97290" w:rsidRPr="00FA158B" w:rsidRDefault="00F97290" w:rsidP="009C3752">
      <w:r w:rsidRPr="00FA158B">
        <w:t>Puissance maximale en régime normal d’exploitation que le demandeur du raccordement a prévu d’être appelée au Point de Livraison. Sa valeur est précisée dans l’éventuelle Convention de Raccordement.</w:t>
      </w:r>
    </w:p>
    <w:p w14:paraId="762FA6AD" w14:textId="77777777" w:rsidR="00F97290" w:rsidRPr="00FA158B" w:rsidRDefault="00F97290" w:rsidP="009C3752">
      <w:r w:rsidRPr="00FA158B">
        <w:t xml:space="preserve">En BT, elle sert au dimensionnement du Branchement. </w:t>
      </w:r>
    </w:p>
    <w:p w14:paraId="1D1A3848" w14:textId="77777777" w:rsidR="00F97290" w:rsidRPr="00FA158B" w:rsidRDefault="00F97290" w:rsidP="009C3752">
      <w:pPr>
        <w:rPr>
          <w:b/>
        </w:rPr>
      </w:pPr>
      <w:r w:rsidRPr="00FA158B">
        <w:rPr>
          <w:b/>
        </w:rPr>
        <w:t xml:space="preserve">Puissance Souscrite </w:t>
      </w:r>
    </w:p>
    <w:p w14:paraId="11EDD855" w14:textId="77777777" w:rsidR="00F97290" w:rsidRDefault="00F97290" w:rsidP="009C3752">
      <w:r w:rsidRPr="00FA158B">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3B22577B" w14:textId="77777777" w:rsidR="00F01600" w:rsidRDefault="00F01600" w:rsidP="00F01600">
      <w:r w:rsidRPr="00C4674C">
        <w:rPr>
          <w:b/>
        </w:rPr>
        <w:t>Puissance</w:t>
      </w:r>
      <w:r>
        <w:t xml:space="preserve"> </w:t>
      </w:r>
      <w:r w:rsidRPr="00C4674C">
        <w:rPr>
          <w:b/>
        </w:rPr>
        <w:t>Souscrite</w:t>
      </w:r>
      <w:r>
        <w:t xml:space="preserve"> </w:t>
      </w:r>
      <w:r w:rsidRPr="00C4674C">
        <w:rPr>
          <w:b/>
        </w:rPr>
        <w:t>Pondérée</w:t>
      </w:r>
      <w:r>
        <w:t xml:space="preserve"> </w:t>
      </w:r>
    </w:p>
    <w:p w14:paraId="2F82E925" w14:textId="77777777" w:rsidR="00F01600" w:rsidRDefault="00F01600" w:rsidP="00F01600">
      <w:r>
        <w:t xml:space="preserve">Il s’agit de la moyenne pondérée des Puissances Souscrites définies par le TURPE. Elle est calculée selon la formule suivante : </w:t>
      </w:r>
    </w:p>
    <w:p w14:paraId="4C36F3A7" w14:textId="3CC315E8" w:rsidR="00F01600" w:rsidRDefault="00F01600" w:rsidP="00F01600">
      <w:pPr>
        <w:rPr>
          <w:noProof/>
        </w:rPr>
      </w:pPr>
      <w:r w:rsidRPr="00204C42">
        <w:rPr>
          <w:noProof/>
        </w:rPr>
        <w:lastRenderedPageBreak/>
        <w:drawing>
          <wp:inline distT="0" distB="0" distL="0" distR="0" wp14:anchorId="2150FDB9" wp14:editId="5DC72AD5">
            <wp:extent cx="2830830" cy="906145"/>
            <wp:effectExtent l="0" t="0" r="762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30830" cy="906145"/>
                    </a:xfrm>
                    <a:prstGeom prst="rect">
                      <a:avLst/>
                    </a:prstGeom>
                    <a:noFill/>
                    <a:ln>
                      <a:noFill/>
                    </a:ln>
                  </pic:spPr>
                </pic:pic>
              </a:graphicData>
            </a:graphic>
          </wp:inline>
        </w:drawing>
      </w:r>
    </w:p>
    <w:p w14:paraId="732E24E2" w14:textId="77777777" w:rsidR="00F01600" w:rsidRDefault="00F01600" w:rsidP="00F01600">
      <w:r w:rsidRPr="00812B8B">
        <w:t xml:space="preserve">Dans </w:t>
      </w:r>
      <w:r>
        <w:t>la formule</w:t>
      </w:r>
      <w:r w:rsidRPr="00812B8B">
        <w:t xml:space="preserve"> ci-dessus, le terme b</w:t>
      </w:r>
      <w:r w:rsidRPr="000122C3">
        <w:rPr>
          <w:vertAlign w:val="subscript"/>
        </w:rPr>
        <w:t>1</w:t>
      </w:r>
      <w:r w:rsidRPr="00812B8B">
        <w:t xml:space="preserve"> est défini par le TURPE.</w:t>
      </w:r>
    </w:p>
    <w:p w14:paraId="2B79A083" w14:textId="423660E9" w:rsidR="00E76F56" w:rsidRPr="00FA158B" w:rsidRDefault="00F01600" w:rsidP="00F01600">
      <w:r w:rsidRPr="00812B8B">
        <w:t>La P</w:t>
      </w:r>
      <w:r>
        <w:t xml:space="preserve">uissance </w:t>
      </w:r>
      <w:r w:rsidRPr="00812B8B">
        <w:t>S</w:t>
      </w:r>
      <w:r>
        <w:t>ouscrite</w:t>
      </w:r>
      <w:r w:rsidRPr="00812B8B">
        <w:t xml:space="preserve"> </w:t>
      </w:r>
      <w:r>
        <w:t>P</w:t>
      </w:r>
      <w:r w:rsidRPr="00812B8B">
        <w:t>ondérée est arrondie à deux décimales près</w:t>
      </w:r>
      <w:r>
        <w:t>.</w:t>
      </w:r>
    </w:p>
    <w:p w14:paraId="6C90F4DE" w14:textId="77777777" w:rsidR="00F97290" w:rsidRPr="00FA158B" w:rsidRDefault="00F97290" w:rsidP="009C3752">
      <w:pPr>
        <w:rPr>
          <w:b/>
        </w:rPr>
      </w:pPr>
      <w:r w:rsidRPr="00FA158B">
        <w:rPr>
          <w:b/>
        </w:rPr>
        <w:t>Reconstitution des flux</w:t>
      </w:r>
    </w:p>
    <w:p w14:paraId="100EC723" w14:textId="77777777" w:rsidR="00F97290" w:rsidRDefault="00F97290" w:rsidP="009C3752">
      <w:r w:rsidRPr="00FA158B">
        <w:t>Pour le règlement des Ecarts, chaque GRD doit déterminer les flux d'injection et de soutirage de chaque Responsable d'Equilibre sur la maille de son réseau ainsi que la Courbe de Charge de ses pertes. Ces données doivent être fournies à RTE par l'ensemble des GRD, sous forme de courbes de mesure au pas 30 minutes. L'ensemble de ces opérations est appelé Reconstitution des flux.</w:t>
      </w:r>
    </w:p>
    <w:p w14:paraId="24584C43" w14:textId="5BDF7DCF" w:rsidR="008704DA" w:rsidRDefault="008704DA" w:rsidP="008704DA">
      <w:r w:rsidRPr="00591974">
        <w:rPr>
          <w:b/>
        </w:rPr>
        <w:t>Référentiels</w:t>
      </w:r>
      <w:r>
        <w:rPr>
          <w:b/>
        </w:rPr>
        <w:t xml:space="preserve"> (du GRD) </w:t>
      </w:r>
    </w:p>
    <w:p w14:paraId="6A72734A" w14:textId="77777777" w:rsidR="008704DA" w:rsidRDefault="008704DA" w:rsidP="008704DA">
      <w:r>
        <w:t xml:space="preserve">Il s’agit du Référentiel Clientèle et de la Documentation Technique de Référence disponibles aux adresses internet suivantes : </w:t>
      </w:r>
    </w:p>
    <w:p w14:paraId="43BDCCA0" w14:textId="2938CD67" w:rsidR="008704DA" w:rsidRDefault="008704DA" w:rsidP="008704DA">
      <w:pPr>
        <w:pStyle w:val="SPuce"/>
      </w:pPr>
      <w:r>
        <w:t xml:space="preserve">Le Référentiel Clientèle : </w:t>
      </w:r>
      <w:hyperlink r:id="rId33" w:history="1">
        <w:r w:rsidR="00686723" w:rsidRPr="00F23F79">
          <w:rPr>
            <w:rStyle w:val="Lienhypertexte"/>
          </w:rPr>
          <w:t>accueil@tig.regielec.fr</w:t>
        </w:r>
      </w:hyperlink>
      <w:r w:rsidR="00354D79">
        <w:t xml:space="preserve"> </w:t>
      </w:r>
    </w:p>
    <w:p w14:paraId="636001CC" w14:textId="4110B57F" w:rsidR="008704DA" w:rsidRDefault="008704DA" w:rsidP="008704DA">
      <w:pPr>
        <w:pStyle w:val="SPuce"/>
      </w:pPr>
      <w:r>
        <w:t xml:space="preserve">La Documentation Technique de Référence : </w:t>
      </w:r>
      <w:hyperlink r:id="rId34" w:history="1">
        <w:r w:rsidR="00686723" w:rsidRPr="00F23F79">
          <w:rPr>
            <w:rStyle w:val="Lienhypertexte"/>
          </w:rPr>
          <w:t>accueil@tig.regielec.fr</w:t>
        </w:r>
      </w:hyperlink>
    </w:p>
    <w:p w14:paraId="7495728C" w14:textId="03013E33" w:rsidR="008704DA" w:rsidRPr="00FA158B" w:rsidRDefault="008704DA" w:rsidP="008704DA">
      <w:r>
        <w:t>L’état de publication des règles du Référentiel est accessible à l’adresse internet suivante :</w:t>
      </w:r>
      <w:r w:rsidR="00A446ED" w:rsidRPr="00A446ED">
        <w:t xml:space="preserve"> </w:t>
      </w:r>
      <w:hyperlink r:id="rId35" w:history="1">
        <w:r w:rsidR="00686723" w:rsidRPr="00F23F79">
          <w:rPr>
            <w:rStyle w:val="Lienhypertexte"/>
          </w:rPr>
          <w:t>accueil@tig.regielec.fr</w:t>
        </w:r>
      </w:hyperlink>
    </w:p>
    <w:p w14:paraId="18550F1D" w14:textId="77777777" w:rsidR="00F97290" w:rsidRPr="00FA158B" w:rsidRDefault="00F97290" w:rsidP="00E818ED">
      <w:pPr>
        <w:spacing w:before="0" w:after="0"/>
        <w:jc w:val="left"/>
        <w:rPr>
          <w:b/>
        </w:rPr>
      </w:pPr>
      <w:r w:rsidRPr="00FA158B">
        <w:rPr>
          <w:b/>
        </w:rPr>
        <w:t>Règles Relatives à la Programmation, au Mécanisme d’Ajustement et au dispositif de Responsable d’Equilibre</w:t>
      </w:r>
    </w:p>
    <w:p w14:paraId="12318682" w14:textId="77777777" w:rsidR="00F97290" w:rsidRPr="00FA158B" w:rsidRDefault="00F97290" w:rsidP="009C3752">
      <w:r w:rsidRPr="00FA158B">
        <w:t>Ces Règles sont publiées par RTE sur son site Internet. Elles sont l’objet d’accords de participation signés par les acteurs du mécanisme qui y participent. Ces Règles comportent 3 sections :</w:t>
      </w:r>
    </w:p>
    <w:p w14:paraId="1101DAD5" w14:textId="77777777" w:rsidR="00F97290" w:rsidRPr="00FA158B" w:rsidRDefault="00F97290" w:rsidP="00D801A4">
      <w:pPr>
        <w:pStyle w:val="SPuce"/>
      </w:pPr>
      <w:r w:rsidRPr="00FA158B">
        <w:t>Section 1 relative à la Programmation, au Mécanisme d’Ajustement et au recouvrement des charges d’ajustement ;</w:t>
      </w:r>
    </w:p>
    <w:p w14:paraId="0F34DA4D" w14:textId="77777777" w:rsidR="00F97290" w:rsidRPr="00FA158B" w:rsidRDefault="00F97290" w:rsidP="00D801A4">
      <w:pPr>
        <w:pStyle w:val="SPuce"/>
      </w:pPr>
      <w:r w:rsidRPr="00FA158B">
        <w:t xml:space="preserve">Section 2 relative au dispositif de Responsable d’Equilibre ; </w:t>
      </w:r>
    </w:p>
    <w:p w14:paraId="79A762EF" w14:textId="77777777" w:rsidR="00F97290" w:rsidRPr="00FA158B" w:rsidRDefault="00F97290" w:rsidP="00D801A4">
      <w:pPr>
        <w:pStyle w:val="SPuce"/>
      </w:pPr>
      <w:r w:rsidRPr="00FA158B">
        <w:t>Section 3 relative au Service d’Echange de Blocs.</w:t>
      </w:r>
    </w:p>
    <w:p w14:paraId="258B560C" w14:textId="77777777" w:rsidR="00F97290" w:rsidRPr="00FA158B" w:rsidRDefault="00F97290" w:rsidP="009C3752">
      <w:pPr>
        <w:rPr>
          <w:b/>
        </w:rPr>
      </w:pPr>
      <w:r w:rsidRPr="00FA158B">
        <w:rPr>
          <w:b/>
        </w:rPr>
        <w:t>Relevé</w:t>
      </w:r>
    </w:p>
    <w:p w14:paraId="6D70E180" w14:textId="22F09166" w:rsidR="00F97290" w:rsidRPr="00FA158B" w:rsidRDefault="00F97290" w:rsidP="009C3752">
      <w:r w:rsidRPr="00FA158B">
        <w:t xml:space="preserve">Désigne les opérations par lesquelles </w:t>
      </w:r>
      <w:r w:rsidR="0076712A">
        <w:t>le GRD</w:t>
      </w:r>
      <w:r w:rsidRPr="00FA158B">
        <w:t xml:space="preserve"> ou son sous-traitant effectue les lectures des Compteurs.</w:t>
      </w:r>
    </w:p>
    <w:p w14:paraId="1E87CEDB" w14:textId="77777777" w:rsidR="00F97290" w:rsidRPr="00FA158B" w:rsidRDefault="00F97290" w:rsidP="009C3752">
      <w:pPr>
        <w:rPr>
          <w:b/>
        </w:rPr>
      </w:pPr>
      <w:r w:rsidRPr="00FA158B">
        <w:rPr>
          <w:b/>
        </w:rPr>
        <w:t>Réseau</w:t>
      </w:r>
    </w:p>
    <w:p w14:paraId="5B177C00" w14:textId="77777777" w:rsidR="00F97290" w:rsidRPr="00FA158B" w:rsidRDefault="00F97290" w:rsidP="009C3752">
      <w:r w:rsidRPr="00FA158B">
        <w:t>Désigne soit le RPT soit le RPD, constitué de canalisations de distribution publique y compris celles à l’intérieur des lotissements ou groupes d’habitations, à l'exclusion des réseaux privés.</w:t>
      </w:r>
    </w:p>
    <w:p w14:paraId="2EFD010A" w14:textId="77777777" w:rsidR="00F97290" w:rsidRPr="00FA158B" w:rsidRDefault="00F97290" w:rsidP="009C3752">
      <w:pPr>
        <w:rPr>
          <w:b/>
        </w:rPr>
      </w:pPr>
      <w:r w:rsidRPr="00FA158B">
        <w:rPr>
          <w:b/>
        </w:rPr>
        <w:t>Résidentiel</w:t>
      </w:r>
    </w:p>
    <w:p w14:paraId="3B1DABD5" w14:textId="77777777" w:rsidR="00F97290" w:rsidRPr="00FA158B" w:rsidRDefault="00F97290" w:rsidP="009C3752">
      <w:r w:rsidRPr="00FA158B">
        <w:t>Client utilisant l’électricité pour des besoins personnels d’habitation</w:t>
      </w:r>
    </w:p>
    <w:p w14:paraId="7C55E3FD" w14:textId="77777777" w:rsidR="00F97290" w:rsidRPr="00FA158B" w:rsidRDefault="00F97290" w:rsidP="009C3752">
      <w:pPr>
        <w:rPr>
          <w:b/>
        </w:rPr>
      </w:pPr>
      <w:r w:rsidRPr="00FA158B">
        <w:rPr>
          <w:b/>
        </w:rPr>
        <w:t>Responsable d'Equilibre (RE)</w:t>
      </w:r>
    </w:p>
    <w:p w14:paraId="06186A68" w14:textId="77777777" w:rsidR="00F97290" w:rsidRPr="00FA158B" w:rsidRDefault="00F97290" w:rsidP="009C3752">
      <w:r w:rsidRPr="00FA158B">
        <w:t>Personne morale ayant signé avec RTE un Accord de Participation pour la qualité de responsable d'équilibre, en application duquel les signataires s'obligent l'un envers l'autre à compenser financièrement les Ecarts constatés a posteriori dans le Périmètre d'Equilibre.</w:t>
      </w:r>
    </w:p>
    <w:p w14:paraId="71B6D73E" w14:textId="77777777" w:rsidR="00F97290" w:rsidRPr="005A0EE0" w:rsidRDefault="00F97290" w:rsidP="009C3752">
      <w:pPr>
        <w:rPr>
          <w:b/>
        </w:rPr>
      </w:pPr>
      <w:r w:rsidRPr="005A0EE0">
        <w:rPr>
          <w:b/>
        </w:rPr>
        <w:t>RPD</w:t>
      </w:r>
    </w:p>
    <w:p w14:paraId="0E6C5FF6" w14:textId="67B481CE" w:rsidR="00F97290" w:rsidRPr="00FA158B" w:rsidRDefault="00F97290" w:rsidP="009C3752">
      <w:r w:rsidRPr="005A0EE0">
        <w:t>Réseau Public de Distribution d’électricité</w:t>
      </w:r>
      <w:r w:rsidR="005D0D2B" w:rsidRPr="005A0EE0">
        <w:t xml:space="preserve"> géré par le GRD</w:t>
      </w:r>
      <w:r w:rsidRPr="005A0EE0">
        <w:t>. Celui-ci est constitué des ouvrages compris dans les concessions de distribution publique d’électricité, en application des articles L. 2224-31 et suivants du code général des collectivités territoriales et à l’article L111-52 du code de l’énergie, ou conformément aux articles R321-2 à 4 du code de l’énergie définissant la consistance du réseau public de transport d’électricité et fixant les modalités de classement des ouvrages dans les réseaux publics de t</w:t>
      </w:r>
      <w:r w:rsidR="00E347FD" w:rsidRPr="005A0EE0">
        <w:t>r</w:t>
      </w:r>
      <w:r w:rsidRPr="005A0EE0">
        <w:t>ansport et de distribution d’électricité.</w:t>
      </w:r>
    </w:p>
    <w:p w14:paraId="6EAA0C59" w14:textId="77777777" w:rsidR="00F97290" w:rsidRPr="00FA158B" w:rsidRDefault="00F97290" w:rsidP="009C3752">
      <w:pPr>
        <w:rPr>
          <w:b/>
        </w:rPr>
      </w:pPr>
      <w:r w:rsidRPr="00FA158B">
        <w:rPr>
          <w:b/>
        </w:rPr>
        <w:t>RPT</w:t>
      </w:r>
    </w:p>
    <w:p w14:paraId="0CA8A414" w14:textId="77777777" w:rsidR="00F97290" w:rsidRPr="00FA158B" w:rsidRDefault="00F97290" w:rsidP="009C3752">
      <w:r w:rsidRPr="00FA158B">
        <w:t>Réseau Public de Transport d’électricité défini par les articles R321-1 à 6 du code de l’énergie.</w:t>
      </w:r>
    </w:p>
    <w:p w14:paraId="3CAB3C8D" w14:textId="77777777" w:rsidR="00F97290" w:rsidRPr="00FA158B" w:rsidRDefault="00F97290" w:rsidP="009C3752">
      <w:pPr>
        <w:rPr>
          <w:b/>
        </w:rPr>
      </w:pPr>
      <w:r w:rsidRPr="00FA158B">
        <w:rPr>
          <w:b/>
        </w:rPr>
        <w:lastRenderedPageBreak/>
        <w:t>RTE</w:t>
      </w:r>
    </w:p>
    <w:p w14:paraId="103ECA49" w14:textId="77777777" w:rsidR="00F97290" w:rsidRPr="00FA158B" w:rsidRDefault="00F97290" w:rsidP="009C3752">
      <w:r w:rsidRPr="00FA158B">
        <w:t xml:space="preserve">Réseau de Transport Electricité, gestionnaire du Réseau Public de Transport d’électricité. </w:t>
      </w:r>
    </w:p>
    <w:p w14:paraId="53E31CEC" w14:textId="77777777" w:rsidR="00F97290" w:rsidRPr="00FA158B" w:rsidRDefault="00F97290" w:rsidP="009C3752">
      <w:pPr>
        <w:rPr>
          <w:b/>
        </w:rPr>
      </w:pPr>
      <w:r w:rsidRPr="00FA158B">
        <w:rPr>
          <w:b/>
        </w:rPr>
        <w:t>Service de comptage</w:t>
      </w:r>
    </w:p>
    <w:p w14:paraId="4AD971BC" w14:textId="77777777" w:rsidR="00F97290" w:rsidRPr="00FA158B" w:rsidRDefault="00F97290" w:rsidP="009C3752">
      <w:r w:rsidRPr="00FA158B">
        <w:t xml:space="preserve">Service choisi par le Fournisseur pour le Dispositif de comptage d'un Point de Connexion donné. </w:t>
      </w:r>
    </w:p>
    <w:p w14:paraId="12ED17A2" w14:textId="77777777" w:rsidR="00F97290" w:rsidRPr="00FA158B" w:rsidRDefault="00F97290" w:rsidP="009C3752">
      <w:r w:rsidRPr="00FA158B">
        <w:t>Il se caractérise par :</w:t>
      </w:r>
    </w:p>
    <w:p w14:paraId="2CB06FA1" w14:textId="77777777" w:rsidR="00F97290" w:rsidRPr="00FA158B" w:rsidRDefault="00F97290" w:rsidP="00D801A4">
      <w:pPr>
        <w:pStyle w:val="SPuce"/>
      </w:pPr>
      <w:proofErr w:type="gramStart"/>
      <w:r w:rsidRPr="00FA158B">
        <w:t>le</w:t>
      </w:r>
      <w:proofErr w:type="gramEnd"/>
      <w:r w:rsidRPr="00FA158B">
        <w:t xml:space="preserve"> domaine de tension,</w:t>
      </w:r>
    </w:p>
    <w:p w14:paraId="07B73BCC" w14:textId="77777777" w:rsidR="00F97290" w:rsidRPr="00FA158B" w:rsidRDefault="00F97290" w:rsidP="00D801A4">
      <w:pPr>
        <w:pStyle w:val="SPuce"/>
      </w:pPr>
      <w:proofErr w:type="gramStart"/>
      <w:r w:rsidRPr="00FA158B">
        <w:t>la</w:t>
      </w:r>
      <w:proofErr w:type="gramEnd"/>
      <w:r w:rsidRPr="00FA158B">
        <w:t xml:space="preserve"> Puissance Souscrite,</w:t>
      </w:r>
    </w:p>
    <w:p w14:paraId="1B7DBF74" w14:textId="77777777" w:rsidR="00F97290" w:rsidRPr="00FA158B" w:rsidRDefault="00F97290" w:rsidP="00D801A4">
      <w:pPr>
        <w:pStyle w:val="SPuce"/>
      </w:pPr>
      <w:proofErr w:type="gramStart"/>
      <w:r w:rsidRPr="00FA158B">
        <w:t>le</w:t>
      </w:r>
      <w:proofErr w:type="gramEnd"/>
      <w:r w:rsidRPr="00FA158B">
        <w:t xml:space="preserve"> mode de contrôle de la Puissance Souscrite,</w:t>
      </w:r>
    </w:p>
    <w:p w14:paraId="42267D69" w14:textId="77777777" w:rsidR="00F97290" w:rsidRPr="00FA158B" w:rsidRDefault="00F97290" w:rsidP="00D801A4">
      <w:pPr>
        <w:pStyle w:val="SPuce"/>
      </w:pPr>
      <w:proofErr w:type="gramStart"/>
      <w:r w:rsidRPr="00FA158B">
        <w:t>les</w:t>
      </w:r>
      <w:proofErr w:type="gramEnd"/>
      <w:r w:rsidRPr="00FA158B">
        <w:t xml:space="preserve"> grandeurs mesurées (Courbe de charge ou index).</w:t>
      </w:r>
    </w:p>
    <w:p w14:paraId="72DB0C28" w14:textId="0432903B" w:rsidR="00E76F56" w:rsidRPr="00FA158B" w:rsidRDefault="00F97290" w:rsidP="009C3752">
      <w:r w:rsidRPr="00FA158B">
        <w:t>Le Service de comptage choisi fixe le niveau de la composante annuelle de comptage qui, conformément au TURPE, est appliqué au Point de Connexion concerné.</w:t>
      </w:r>
    </w:p>
    <w:p w14:paraId="52925FEE" w14:textId="77777777" w:rsidR="00F97290" w:rsidRPr="00FA158B" w:rsidRDefault="00F97290" w:rsidP="009C3752">
      <w:pPr>
        <w:rPr>
          <w:b/>
        </w:rPr>
      </w:pPr>
      <w:r w:rsidRPr="00FA158B">
        <w:rPr>
          <w:b/>
        </w:rPr>
        <w:t>Site</w:t>
      </w:r>
    </w:p>
    <w:p w14:paraId="547713AA" w14:textId="77777777" w:rsidR="00F97290" w:rsidRDefault="00F97290" w:rsidP="009C3752">
      <w:r w:rsidRPr="00FA158B">
        <w:t>Etablissement identifié par son numéro d’identité au répertoire national des entreprises et établissements (numéro SIRET), tel que défini par les articles R123-220 et suivants du code de commerc</w:t>
      </w:r>
      <w:r w:rsidR="00F92A40" w:rsidRPr="00FA158B">
        <w:t>e</w:t>
      </w:r>
      <w:r w:rsidRPr="00FA158B">
        <w:t xml:space="preserve">, ou à défaut, pour les sites qui ne sont ni industriels ni commerciaux, par le lieu de consommation de l'électricité. </w:t>
      </w:r>
    </w:p>
    <w:p w14:paraId="43141C55" w14:textId="1D9AD28F" w:rsidR="008704DA" w:rsidRPr="00591974" w:rsidRDefault="008704DA" w:rsidP="008704DA">
      <w:pPr>
        <w:rPr>
          <w:b/>
          <w:color w:val="FF0000"/>
        </w:rPr>
      </w:pPr>
      <w:r w:rsidRPr="00591974">
        <w:rPr>
          <w:b/>
        </w:rPr>
        <w:t xml:space="preserve">Site internet (du GRD) </w:t>
      </w:r>
    </w:p>
    <w:p w14:paraId="5FA11E4B" w14:textId="09BF1F11" w:rsidR="008704DA" w:rsidRPr="00FA158B" w:rsidRDefault="008704DA" w:rsidP="009C3752">
      <w:r>
        <w:t>Il s’agit du site internet suivant :</w:t>
      </w:r>
      <w:r w:rsidR="00452F62">
        <w:t xml:space="preserve"> </w:t>
      </w:r>
      <w:hyperlink r:id="rId36" w:history="1">
        <w:r w:rsidR="00452F62" w:rsidRPr="00F23F79">
          <w:rPr>
            <w:rStyle w:val="Lienhypertexte"/>
          </w:rPr>
          <w:t>https://tignelec.com</w:t>
        </w:r>
      </w:hyperlink>
      <w:r w:rsidR="00452F62">
        <w:t xml:space="preserve"> </w:t>
      </w:r>
    </w:p>
    <w:p w14:paraId="0E82614B" w14:textId="2B0AB0D6" w:rsidR="00F97290" w:rsidRPr="00FA158B" w:rsidRDefault="00F97290" w:rsidP="00E818ED">
      <w:pPr>
        <w:spacing w:before="0" w:after="0"/>
        <w:jc w:val="left"/>
        <w:rPr>
          <w:b/>
        </w:rPr>
      </w:pPr>
      <w:r w:rsidRPr="00FA158B">
        <w:rPr>
          <w:b/>
        </w:rPr>
        <w:t>Surtensions Transitoires</w:t>
      </w:r>
      <w:r w:rsidR="005D0D2B">
        <w:rPr>
          <w:b/>
        </w:rPr>
        <w:t xml:space="preserve"> </w:t>
      </w:r>
    </w:p>
    <w:p w14:paraId="3ADB39B6" w14:textId="77777777" w:rsidR="00F97290" w:rsidRPr="00FA158B" w:rsidRDefault="00F97290" w:rsidP="009C3752">
      <w:r w:rsidRPr="00FA158B">
        <w:t>Surtension oscillatoire ou non oscillatoire de courte durée généralement fortement amortie et qui ne dure au maximum que quelques millisecondes, conformément à la norme NF EN 50-160.</w:t>
      </w:r>
    </w:p>
    <w:p w14:paraId="0741CF31" w14:textId="4F685BCF" w:rsidR="00F97290" w:rsidRPr="00FA158B" w:rsidRDefault="00F97290" w:rsidP="009C3752">
      <w:r w:rsidRPr="00FA158B">
        <w:t xml:space="preserve">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w:t>
      </w:r>
      <w:r w:rsidR="0076712A">
        <w:t>du GRD</w:t>
      </w:r>
      <w:r w:rsidRPr="00FA158B">
        <w:t xml:space="preserve">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w:t>
      </w:r>
      <w:r w:rsidR="0076712A">
        <w:t>le GRD</w:t>
      </w:r>
      <w:r w:rsidRPr="00FA158B">
        <w:t xml:space="preserve"> n’est pas en mesure de garantir des niveaux qui ne seraient pas dépassés chez les clients. En conséquence, ceux-ci devront prendre toutes les mesures nécessaires pour se protéger. Nota : les parafoudres actuellement utilisés sur le réseau HTA </w:t>
      </w:r>
      <w:r w:rsidR="0076712A">
        <w:t>du GRD</w:t>
      </w:r>
      <w:r w:rsidRPr="00FA158B">
        <w:t xml:space="preserve"> permettent de limiter la valeur crête de la tension à leurs bornes à 80 kV, pour un courant de décharge de 5 kA. Pour un courant de décharge supérieur, des valeurs supérieures de Surtension peuvent être rencontrées.</w:t>
      </w:r>
    </w:p>
    <w:p w14:paraId="02B636A3" w14:textId="77777777" w:rsidR="00F97290" w:rsidRPr="00FA158B" w:rsidRDefault="00F97290" w:rsidP="009C3752">
      <w:pPr>
        <w:rPr>
          <w:b/>
        </w:rPr>
      </w:pPr>
      <w:r w:rsidRPr="00FA158B">
        <w:rPr>
          <w:b/>
        </w:rPr>
        <w:t>Tarif d'Utilisation d’un réseau public de distribution (TURPE)</w:t>
      </w:r>
    </w:p>
    <w:p w14:paraId="235AC8A8" w14:textId="77777777" w:rsidR="00F97290" w:rsidRPr="00FA158B" w:rsidRDefault="00F97290" w:rsidP="009C3752">
      <w:pPr>
        <w:rPr>
          <w:bCs/>
        </w:rPr>
      </w:pPr>
      <w:r w:rsidRPr="00FA158B">
        <w:rPr>
          <w:bCs/>
        </w:rPr>
        <w:t xml:space="preserve">Tarifs </w:t>
      </w:r>
      <w:r w:rsidRPr="00FA158B">
        <w:t>d’utilisation d’un réseau public de distribution d’électricité dans le domaine de tension HTA ou BT</w:t>
      </w:r>
      <w:r w:rsidRPr="00FA158B">
        <w:rPr>
          <w:bCs/>
        </w:rPr>
        <w:t xml:space="preserve">, définis aux articles L341-2 et suivants du code de l’énergie. </w:t>
      </w:r>
    </w:p>
    <w:p w14:paraId="6CD0ACC6" w14:textId="77777777" w:rsidR="00F97290" w:rsidRPr="00FA158B" w:rsidRDefault="00F97290" w:rsidP="009C3752">
      <w:pPr>
        <w:rPr>
          <w:b/>
        </w:rPr>
      </w:pPr>
      <w:proofErr w:type="spellStart"/>
      <w:r w:rsidRPr="00FA158B">
        <w:rPr>
          <w:b/>
        </w:rPr>
        <w:t>Télérelevé</w:t>
      </w:r>
      <w:proofErr w:type="spellEnd"/>
    </w:p>
    <w:p w14:paraId="1C810D4F" w14:textId="77777777" w:rsidR="00F97290" w:rsidRPr="00FA158B" w:rsidRDefault="00F97290" w:rsidP="009C3752">
      <w:r w:rsidRPr="00FA158B">
        <w:t>Accès à distance aux données délivrées par un Compteur, généralement à l’aide d’une interface connectée à une liaison de télécommunication physique.</w:t>
      </w:r>
    </w:p>
    <w:p w14:paraId="1DE86066" w14:textId="77777777" w:rsidR="00F97290" w:rsidRPr="00FA158B" w:rsidRDefault="00F97290" w:rsidP="009C3752">
      <w:pPr>
        <w:rPr>
          <w:b/>
        </w:rPr>
      </w:pPr>
      <w:r w:rsidRPr="00FA158B">
        <w:rPr>
          <w:b/>
        </w:rPr>
        <w:t>Tension Contractuelle (</w:t>
      </w:r>
      <w:proofErr w:type="spellStart"/>
      <w:r w:rsidRPr="00FA158B">
        <w:rPr>
          <w:b/>
        </w:rPr>
        <w:t>Uc</w:t>
      </w:r>
      <w:proofErr w:type="spellEnd"/>
      <w:r w:rsidRPr="00FA158B">
        <w:rPr>
          <w:b/>
        </w:rPr>
        <w:t>)</w:t>
      </w:r>
    </w:p>
    <w:p w14:paraId="76C6F494" w14:textId="7196E784" w:rsidR="00F97290" w:rsidRPr="00FA158B" w:rsidRDefault="00F97290" w:rsidP="009C3752">
      <w:r w:rsidRPr="00FA158B">
        <w:t xml:space="preserve">Référence des engagements </w:t>
      </w:r>
      <w:r w:rsidR="0076712A">
        <w:t>du GRD</w:t>
      </w:r>
      <w:r w:rsidRPr="00FA158B">
        <w:t xml:space="preserve"> en matière de tension. Sa valeur, fixée dans le Contrat Unique, peut différer de la Tension Nominale (U</w:t>
      </w:r>
      <w:r w:rsidRPr="00FA158B">
        <w:rPr>
          <w:vertAlign w:val="subscript"/>
        </w:rPr>
        <w:t>n</w:t>
      </w:r>
      <w:r w:rsidRPr="00FA158B">
        <w:t>).</w:t>
      </w:r>
    </w:p>
    <w:p w14:paraId="49A1D590" w14:textId="77777777" w:rsidR="00F97290" w:rsidRPr="00FA158B" w:rsidRDefault="00F97290" w:rsidP="009C3752">
      <w:pPr>
        <w:rPr>
          <w:b/>
        </w:rPr>
      </w:pPr>
      <w:r w:rsidRPr="00FA158B">
        <w:rPr>
          <w:b/>
        </w:rPr>
        <w:t>Tension de Fourniture (</w:t>
      </w:r>
      <w:proofErr w:type="spellStart"/>
      <w:r w:rsidRPr="00FA158B">
        <w:rPr>
          <w:b/>
        </w:rPr>
        <w:t>Uf</w:t>
      </w:r>
      <w:proofErr w:type="spellEnd"/>
      <w:r w:rsidRPr="00FA158B">
        <w:rPr>
          <w:b/>
        </w:rPr>
        <w:t>)</w:t>
      </w:r>
    </w:p>
    <w:p w14:paraId="608AE2A2" w14:textId="453CB28E" w:rsidR="00F97290" w:rsidRPr="00FA158B" w:rsidRDefault="00F97290" w:rsidP="009C3752">
      <w:r w:rsidRPr="00FA158B">
        <w:t xml:space="preserve">Valeur de la tension </w:t>
      </w:r>
      <w:r w:rsidR="0076712A">
        <w:t>que le GRD</w:t>
      </w:r>
      <w:r w:rsidRPr="00FA158B">
        <w:t xml:space="preserve"> délivre au Point de Livraison du Client à un instant donné.</w:t>
      </w:r>
    </w:p>
    <w:p w14:paraId="4B253B37" w14:textId="77777777" w:rsidR="00F97290" w:rsidRPr="00FA158B" w:rsidRDefault="00F97290" w:rsidP="009C3752">
      <w:pPr>
        <w:rPr>
          <w:b/>
        </w:rPr>
      </w:pPr>
      <w:r w:rsidRPr="00FA158B">
        <w:rPr>
          <w:b/>
        </w:rPr>
        <w:t>Tension Nominale (Un)</w:t>
      </w:r>
    </w:p>
    <w:p w14:paraId="6E5D8911" w14:textId="77777777" w:rsidR="00F97290" w:rsidRPr="00FA158B" w:rsidRDefault="00F97290" w:rsidP="009C3752">
      <w:r w:rsidRPr="00FA158B">
        <w:lastRenderedPageBreak/>
        <w:t>Tension appartenant au Domaine de Tension qui a servi de référence à la conception d'un réseau ou d'un matériel et qui est utilisée par la suite pour le désigner.</w:t>
      </w:r>
    </w:p>
    <w:p w14:paraId="15603416" w14:textId="77777777" w:rsidR="00F97290" w:rsidRPr="00FA158B" w:rsidRDefault="00F97290" w:rsidP="009C3752">
      <w:pPr>
        <w:rPr>
          <w:b/>
        </w:rPr>
      </w:pPr>
      <w:r w:rsidRPr="00FA158B">
        <w:rPr>
          <w:b/>
        </w:rPr>
        <w:t>Utilisateur du RPD</w:t>
      </w:r>
    </w:p>
    <w:p w14:paraId="26BADA7A" w14:textId="77777777" w:rsidR="00F97290" w:rsidRPr="00FA158B" w:rsidRDefault="00F97290" w:rsidP="009C3752">
      <w:r w:rsidRPr="00FA158B">
        <w:t>Toute personne physique ou morale directement desservie par un réseau public de distribution et titulaire d’un contrat d’accès au RPD au titre duquel un rattachement à un périmètre d’équilibre est exigé.</w:t>
      </w:r>
    </w:p>
    <w:p w14:paraId="695C53C8" w14:textId="77777777" w:rsidR="00F97290" w:rsidRPr="00FA158B" w:rsidRDefault="00F97290" w:rsidP="009C3752">
      <w:pPr>
        <w:rPr>
          <w:b/>
        </w:rPr>
      </w:pPr>
      <w:r w:rsidRPr="00FA158B">
        <w:rPr>
          <w:b/>
        </w:rPr>
        <w:t>Variations Rapides de la Tension</w:t>
      </w:r>
    </w:p>
    <w:p w14:paraId="29ABD49D" w14:textId="449AD850" w:rsidR="00F97290" w:rsidRPr="00FA158B" w:rsidRDefault="00F97290" w:rsidP="00F65C25">
      <w:r w:rsidRPr="00FA158B">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p>
    <w:p w14:paraId="2AAD5B28" w14:textId="77777777" w:rsidR="00F97290" w:rsidRPr="00803A46" w:rsidRDefault="00F97290">
      <w:bookmarkStart w:id="398" w:name="_Toc165044683"/>
      <w:bookmarkStart w:id="399" w:name="_Toc165044684"/>
      <w:bookmarkEnd w:id="398"/>
      <w:bookmarkEnd w:id="399"/>
    </w:p>
    <w:sectPr w:rsidR="00F97290" w:rsidRPr="00803A46" w:rsidSect="009C3752">
      <w:headerReference w:type="first" r:id="rId37"/>
      <w:footerReference w:type="first" r:id="rId38"/>
      <w:pgSz w:w="11906" w:h="16838" w:code="9"/>
      <w:pgMar w:top="1701" w:right="794" w:bottom="1701" w:left="794" w:header="567"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901ED" w14:textId="77777777" w:rsidR="003306EB" w:rsidRDefault="003306EB" w:rsidP="009C3752">
      <w:r>
        <w:separator/>
      </w:r>
    </w:p>
  </w:endnote>
  <w:endnote w:type="continuationSeparator" w:id="0">
    <w:p w14:paraId="55F50A0C" w14:textId="77777777" w:rsidR="003306EB" w:rsidRDefault="003306EB" w:rsidP="009C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Neris-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301F2" w14:textId="77777777" w:rsidR="003306EB" w:rsidRDefault="003306EB">
    <w:pPr>
      <w:pStyle w:val="Pieddepage"/>
    </w:pPr>
  </w:p>
  <w:p w14:paraId="51908A99" w14:textId="77777777" w:rsidR="003306EB" w:rsidRDefault="003306E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15178" w14:textId="793E891E" w:rsidR="003306EB" w:rsidRDefault="003306EB" w:rsidP="009C375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52</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52</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534"/>
      <w:gridCol w:w="784"/>
    </w:tblGrid>
    <w:tr w:rsidR="003306EB" w14:paraId="116F1ADC" w14:textId="77777777" w:rsidTr="00DB663D">
      <w:trPr>
        <w:cantSplit/>
      </w:trPr>
      <w:tc>
        <w:tcPr>
          <w:tcW w:w="4620" w:type="pct"/>
          <w:vAlign w:val="bottom"/>
        </w:tcPr>
        <w:p w14:paraId="6F0F292E" w14:textId="2D079749" w:rsidR="003306EB" w:rsidRDefault="003306EB" w:rsidP="009C3752">
          <w:pPr>
            <w:pStyle w:val="Pieddepage"/>
            <w:spacing w:before="0" w:after="0"/>
          </w:pPr>
          <w:r>
            <w:rPr>
              <w:noProof/>
            </w:rPr>
            <w:fldChar w:fldCharType="begin"/>
          </w:r>
          <w:r>
            <w:rPr>
              <w:noProof/>
            </w:rPr>
            <w:instrText xml:space="preserve"> STYLEREF  S_Identification  \* MERGEFORMAT </w:instrText>
          </w:r>
          <w:r>
            <w:rPr>
              <w:noProof/>
            </w:rPr>
            <w:fldChar w:fldCharType="end"/>
          </w:r>
        </w:p>
        <w:p w14:paraId="33ABB994" w14:textId="6C4C6067" w:rsidR="003306EB" w:rsidRDefault="003306EB" w:rsidP="009C3752">
          <w:pPr>
            <w:pStyle w:val="Pieddepage"/>
            <w:spacing w:before="0" w:after="0"/>
          </w:pPr>
          <w:r>
            <w:t>V3-2020 GRD-F Annexe1</w:t>
          </w:r>
        </w:p>
        <w:p w14:paraId="5DFB43F2" w14:textId="56581D4E" w:rsidR="003306EB" w:rsidRDefault="003306EB" w:rsidP="009C3752">
          <w:pPr>
            <w:pStyle w:val="Pieddepage"/>
            <w:spacing w:before="0" w:after="0"/>
          </w:pPr>
        </w:p>
      </w:tc>
      <w:tc>
        <w:tcPr>
          <w:tcW w:w="380" w:type="pct"/>
          <w:vAlign w:val="bottom"/>
        </w:tcPr>
        <w:p w14:paraId="0B6A8B4F" w14:textId="3481E34E" w:rsidR="003306EB" w:rsidRDefault="003306EB" w:rsidP="009C3752">
          <w:pPr>
            <w:pStyle w:val="Pieddepage"/>
          </w:pPr>
          <w:r>
            <w:t>RET</w:t>
          </w:r>
        </w:p>
      </w:tc>
    </w:tr>
  </w:tbl>
  <w:p w14:paraId="6E66367F" w14:textId="77777777" w:rsidR="003306EB" w:rsidRPr="002109E8" w:rsidRDefault="003306EB" w:rsidP="009C375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DF24C" w14:textId="1EA62CC1" w:rsidR="003306EB" w:rsidRDefault="003306EB" w:rsidP="009C3752">
    <w:pPr>
      <w:jc w:val="right"/>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52</w:t>
    </w:r>
    <w:r>
      <w:rPr>
        <w:rStyle w:val="Numrodepage"/>
        <w:noProof/>
        <w:sz w:val="16"/>
        <w:szCs w:val="16"/>
      </w:rPr>
      <w:fldChar w:fldCharType="end"/>
    </w:r>
  </w:p>
  <w:p w14:paraId="10751252" w14:textId="77777777" w:rsidR="003306EB" w:rsidRDefault="003306EB" w:rsidP="009C3752">
    <w:pPr>
      <w:jc w:val="right"/>
      <w:rPr>
        <w:rStyle w:val="Numrodepage"/>
        <w:sz w:val="16"/>
        <w:szCs w:val="16"/>
      </w:rPr>
    </w:pPr>
  </w:p>
  <w:p w14:paraId="15916FA8" w14:textId="77777777" w:rsidR="003306EB" w:rsidRPr="002109E8" w:rsidRDefault="003306EB" w:rsidP="009C3752">
    <w:pPr>
      <w:pStyle w:val="Pieddepage"/>
      <w:spacing w:before="0" w:after="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3085D" w14:textId="1318694D" w:rsidR="003306EB" w:rsidRDefault="003306EB" w:rsidP="009C3752">
    <w:pPr>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50</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04"/>
      <w:gridCol w:w="5130"/>
      <w:gridCol w:w="784"/>
    </w:tblGrid>
    <w:tr w:rsidR="003306EB" w14:paraId="58EAEDDB" w14:textId="77777777" w:rsidTr="00DB663D">
      <w:trPr>
        <w:cantSplit/>
      </w:trPr>
      <w:tc>
        <w:tcPr>
          <w:tcW w:w="2134" w:type="pct"/>
          <w:vAlign w:val="bottom"/>
        </w:tcPr>
        <w:p w14:paraId="5B14C7CD" w14:textId="77777777" w:rsidR="003306EB" w:rsidRPr="00BC6E54" w:rsidRDefault="003306EB" w:rsidP="009C3752">
          <w:r w:rsidRPr="00BC6E54">
            <w:t>Enedis - Tour Enedis</w:t>
          </w:r>
        </w:p>
        <w:p w14:paraId="4741F284" w14:textId="77777777" w:rsidR="003306EB" w:rsidRPr="00BC6E54" w:rsidRDefault="003306EB" w:rsidP="009C3752">
          <w:r w:rsidRPr="00BC6E54">
            <w:t>34 place des Corolles</w:t>
          </w:r>
        </w:p>
        <w:p w14:paraId="48019323" w14:textId="77777777" w:rsidR="003306EB" w:rsidRPr="00BC6E54" w:rsidRDefault="003306EB" w:rsidP="009C3752">
          <w:r w:rsidRPr="00BC6E54">
            <w:t>92079 Paris La Défense Cedex</w:t>
          </w:r>
        </w:p>
        <w:p w14:paraId="7F766FBE" w14:textId="77777777" w:rsidR="003306EB" w:rsidRPr="00BC6E54" w:rsidRDefault="003306EB" w:rsidP="009C3752">
          <w:pPr>
            <w:pStyle w:val="Pieddepage"/>
          </w:pPr>
          <w:r w:rsidRPr="00BC6E54">
            <w:t xml:space="preserve">enedis.fr </w:t>
          </w:r>
        </w:p>
      </w:tc>
      <w:tc>
        <w:tcPr>
          <w:tcW w:w="2486" w:type="pct"/>
          <w:vAlign w:val="bottom"/>
        </w:tcPr>
        <w:p w14:paraId="7DA9B78B" w14:textId="77777777" w:rsidR="003306EB" w:rsidRDefault="003306EB" w:rsidP="009C3752">
          <w:pPr>
            <w:pStyle w:val="Pieddepage"/>
          </w:pPr>
          <w:r>
            <w:t>SA à directoire et à conseil de surveillance</w:t>
          </w:r>
        </w:p>
        <w:p w14:paraId="72F34282" w14:textId="77777777" w:rsidR="003306EB" w:rsidRDefault="003306EB" w:rsidP="009C3752">
          <w:pPr>
            <w:pStyle w:val="Pieddepage"/>
          </w:pPr>
          <w:r>
            <w:t>Capital de 270 037 000 euros</w:t>
          </w:r>
        </w:p>
        <w:p w14:paraId="794B6E88" w14:textId="77777777" w:rsidR="003306EB" w:rsidRDefault="003306EB" w:rsidP="009C3752">
          <w:pPr>
            <w:pStyle w:val="Pieddepage"/>
          </w:pPr>
          <w:r>
            <w:t>R.C.S. de Nanterre 444 608 442</w:t>
          </w:r>
        </w:p>
        <w:p w14:paraId="5DDC5A9B" w14:textId="77777777" w:rsidR="003306EB" w:rsidRDefault="003306EB" w:rsidP="009C3752">
          <w:pPr>
            <w:pStyle w:val="Pieddepage"/>
          </w:pPr>
          <w:r>
            <w:t>Enedis est certifié ISO 14001 pour l’environnement</w:t>
          </w:r>
        </w:p>
      </w:tc>
      <w:tc>
        <w:tcPr>
          <w:tcW w:w="380" w:type="pct"/>
          <w:vAlign w:val="bottom"/>
        </w:tcPr>
        <w:p w14:paraId="698CC83E" w14:textId="77777777" w:rsidR="003306EB" w:rsidRDefault="003306EB" w:rsidP="009C3752">
          <w:pPr>
            <w:pStyle w:val="Pieddepage"/>
          </w:pPr>
          <w:r>
            <w:rPr>
              <w:noProof/>
            </w:rPr>
            <w:drawing>
              <wp:inline distT="0" distB="0" distL="0" distR="0" wp14:anchorId="69FC24AC" wp14:editId="0917D4C5">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47B3C3A6" w14:textId="77777777" w:rsidR="003306EB" w:rsidRPr="002109E8" w:rsidRDefault="003306EB" w:rsidP="009C37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E7E4D" w14:textId="77777777" w:rsidR="003306EB" w:rsidRDefault="003306EB" w:rsidP="009C3752">
      <w:r>
        <w:separator/>
      </w:r>
    </w:p>
  </w:footnote>
  <w:footnote w:type="continuationSeparator" w:id="0">
    <w:p w14:paraId="7F0145D8" w14:textId="77777777" w:rsidR="003306EB" w:rsidRDefault="003306EB" w:rsidP="009C3752">
      <w:r>
        <w:continuationSeparator/>
      </w:r>
    </w:p>
  </w:footnote>
  <w:footnote w:id="1">
    <w:p w14:paraId="724A4DD3" w14:textId="77777777" w:rsidR="003306EB" w:rsidRPr="000C0CCD" w:rsidRDefault="003306EB" w:rsidP="009C3752">
      <w:pPr>
        <w:pStyle w:val="Notedebasdepage"/>
        <w:rPr>
          <w:color w:val="575757" w:themeColor="text1"/>
          <w:sz w:val="18"/>
          <w:szCs w:val="18"/>
        </w:rPr>
      </w:pPr>
      <w:r w:rsidRPr="000C0CCD">
        <w:rPr>
          <w:rStyle w:val="Appelnotedebasdep"/>
          <w:rFonts w:cs="Arial"/>
          <w:color w:val="575757" w:themeColor="text1"/>
          <w:sz w:val="18"/>
          <w:szCs w:val="18"/>
        </w:rPr>
        <w:footnoteRef/>
      </w:r>
      <w:r w:rsidRPr="000C0CCD">
        <w:rPr>
          <w:color w:val="575757" w:themeColor="text1"/>
          <w:sz w:val="18"/>
          <w:szCs w:val="18"/>
        </w:rPr>
        <w:t xml:space="preserve"> Client avec installation non perturbatrice, sans exigence de secours, et dont la Puissance Souscrite est compatible avec les capacités du RPD.</w:t>
      </w:r>
    </w:p>
  </w:footnote>
  <w:footnote w:id="2">
    <w:p w14:paraId="2101412C" w14:textId="77777777" w:rsidR="003306EB" w:rsidRPr="00B82801" w:rsidRDefault="003306EB" w:rsidP="003864D6">
      <w:pPr>
        <w:pStyle w:val="Notedebasdepage"/>
        <w:ind w:hanging="357"/>
      </w:pPr>
      <w:r w:rsidRPr="0004412B">
        <w:rPr>
          <w:rStyle w:val="Appelnotedebasdep"/>
          <w:rFonts w:asciiTheme="minorHAnsi" w:hAnsiTheme="minorHAnsi" w:cstheme="minorHAnsi"/>
          <w:color w:val="575757" w:themeColor="text1"/>
          <w:sz w:val="18"/>
          <w:szCs w:val="18"/>
        </w:rPr>
        <w:footnoteRef/>
      </w:r>
      <w:r w:rsidRPr="0004412B">
        <w:rPr>
          <w:rFonts w:asciiTheme="minorHAnsi" w:hAnsiTheme="minorHAnsi" w:cstheme="minorHAnsi"/>
          <w:color w:val="575757" w:themeColor="text1"/>
          <w:sz w:val="18"/>
          <w:szCs w:val="18"/>
        </w:rPr>
        <w:t xml:space="preserve"> </w:t>
      </w:r>
      <w:r w:rsidRPr="003864D6">
        <w:rPr>
          <w:rFonts w:asciiTheme="minorHAnsi" w:hAnsiTheme="minorHAnsi" w:cstheme="minorHAnsi"/>
          <w:color w:val="575757" w:themeColor="text1"/>
          <w:sz w:val="18"/>
          <w:szCs w:val="18"/>
        </w:rPr>
        <w:t>Défini par</w:t>
      </w:r>
      <w:r w:rsidRPr="003864D6">
        <w:rPr>
          <w:color w:val="575757" w:themeColor="text1"/>
          <w:sz w:val="18"/>
          <w:szCs w:val="18"/>
        </w:rPr>
        <w:t xml:space="preserve"> </w:t>
      </w:r>
      <w:r w:rsidRPr="003864D6">
        <w:rPr>
          <w:color w:val="575757" w:themeColor="text1"/>
          <w:position w:val="-30"/>
          <w:sz w:val="18"/>
          <w:szCs w:val="18"/>
        </w:rPr>
        <w:object w:dxaOrig="1219" w:dyaOrig="760" w14:anchorId="5977B7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4pt;height:34.5pt" o:ole="" fillcolor="window">
            <v:imagedata r:id="rId1" o:title=""/>
          </v:shape>
          <o:OLEObject Type="Embed" ProgID="Equation.2" ShapeID="_x0000_i1030" DrawAspect="Content" ObjectID="_1682145183" r:id="rId2"/>
        </w:object>
      </w:r>
    </w:p>
  </w:footnote>
  <w:footnote w:id="3">
    <w:p w14:paraId="482DF1FA" w14:textId="77777777" w:rsidR="003306EB" w:rsidRPr="00710023" w:rsidRDefault="003306EB" w:rsidP="003864D6">
      <w:pPr>
        <w:pStyle w:val="Notedebasdepage"/>
        <w:ind w:hanging="357"/>
        <w:rPr>
          <w:color w:val="575757" w:themeColor="text1"/>
          <w:sz w:val="18"/>
          <w:szCs w:val="18"/>
        </w:rPr>
      </w:pPr>
      <w:r w:rsidRPr="00710023">
        <w:rPr>
          <w:rStyle w:val="Appelnotedebasdep"/>
          <w:color w:val="575757" w:themeColor="text1"/>
          <w:sz w:val="18"/>
          <w:szCs w:val="18"/>
        </w:rPr>
        <w:footnoteRef/>
      </w:r>
      <w:r w:rsidRPr="00710023">
        <w:rPr>
          <w:color w:val="575757" w:themeColor="text1"/>
          <w:sz w:val="18"/>
          <w:szCs w:val="18"/>
        </w:rPr>
        <w:t xml:space="preserve"> Disponible auprès de l’AFNOR.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2"/>
      <w:gridCol w:w="8576"/>
    </w:tblGrid>
    <w:tr w:rsidR="003306EB" w14:paraId="3FC85700" w14:textId="77777777" w:rsidTr="002109E8">
      <w:trPr>
        <w:cantSplit/>
      </w:trPr>
      <w:tc>
        <w:tcPr>
          <w:tcW w:w="1758" w:type="dxa"/>
        </w:tcPr>
        <w:p w14:paraId="47C12832" w14:textId="506E572D" w:rsidR="003306EB" w:rsidRPr="00DE2C37" w:rsidRDefault="003306EB" w:rsidP="009C3752">
          <w:pPr>
            <w:pStyle w:val="En-tte"/>
            <w:rPr>
              <w:sz w:val="16"/>
              <w:szCs w:val="16"/>
            </w:rPr>
          </w:pPr>
          <w:r w:rsidRPr="00DE2C37">
            <w:rPr>
              <w:sz w:val="16"/>
              <w:szCs w:val="16"/>
            </w:rPr>
            <w:t>Modèle GRD-F Annexe1</w:t>
          </w:r>
        </w:p>
      </w:tc>
      <w:tc>
        <w:tcPr>
          <w:tcW w:w="8674" w:type="dxa"/>
        </w:tcPr>
        <w:p w14:paraId="582FE09A" w14:textId="42453369" w:rsidR="003306EB" w:rsidRPr="00B1201F" w:rsidRDefault="003306EB" w:rsidP="00DE2C37">
          <w:pPr>
            <w:pStyle w:val="En-tte"/>
            <w:ind w:left="936"/>
            <w:jc w:val="right"/>
            <w:rPr>
              <w:color w:val="575757" w:themeColor="text1"/>
              <w:sz w:val="24"/>
              <w:szCs w:val="24"/>
            </w:rPr>
          </w:pPr>
          <w:r>
            <w:rPr>
              <w:sz w:val="24"/>
              <w:szCs w:val="24"/>
            </w:rPr>
            <w:t>Régie Electrique de Tignes</w:t>
          </w:r>
        </w:p>
      </w:tc>
    </w:tr>
  </w:tbl>
  <w:p w14:paraId="03BE79CA" w14:textId="77777777" w:rsidR="003306EB" w:rsidRDefault="003306EB" w:rsidP="009C3752">
    <w:pPr>
      <w:pStyle w:val="En-tte"/>
    </w:pPr>
  </w:p>
  <w:p w14:paraId="0099595A" w14:textId="77777777" w:rsidR="003306EB" w:rsidRDefault="003306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48169" w14:textId="1FD2F07A" w:rsidR="003306EB" w:rsidRDefault="003306EB" w:rsidP="009C3752">
    <w:pPr>
      <w:pStyle w:val="En-tte"/>
    </w:pPr>
  </w:p>
  <w:p w14:paraId="19155264" w14:textId="77777777" w:rsidR="003306EB" w:rsidRDefault="003306EB" w:rsidP="009C375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43EB" w14:textId="77777777" w:rsidR="003306EB" w:rsidRDefault="003306EB" w:rsidP="009C3752">
    <w:pPr>
      <w:pStyle w:val="En-tte"/>
    </w:pPr>
    <w:r>
      <w:rPr>
        <w:noProof/>
      </w:rPr>
      <w:drawing>
        <wp:inline distT="0" distB="0" distL="0" distR="0" wp14:anchorId="0A07BB00" wp14:editId="659D98CF">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AB2A162"/>
    <w:lvl w:ilvl="0">
      <w:numFmt w:val="decimal"/>
      <w:pStyle w:val="Enumration2"/>
      <w:lvlText w:val="*"/>
      <w:lvlJc w:val="left"/>
    </w:lvl>
  </w:abstractNum>
  <w:abstractNum w:abstractNumId="1"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2" w15:restartNumberingAfterBreak="0">
    <w:nsid w:val="161E3B4A"/>
    <w:multiLevelType w:val="hybridMultilevel"/>
    <w:tmpl w:val="61FC6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5" w15:restartNumberingAfterBreak="0">
    <w:nsid w:val="40D61CC9"/>
    <w:multiLevelType w:val="hybridMultilevel"/>
    <w:tmpl w:val="27B0F8A6"/>
    <w:lvl w:ilvl="0" w:tplc="D132236E">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FE01651"/>
    <w:multiLevelType w:val="hybridMultilevel"/>
    <w:tmpl w:val="A5FC3A54"/>
    <w:lvl w:ilvl="0" w:tplc="F59E7562">
      <w:start w:val="1"/>
      <w:numFmt w:val="bullet"/>
      <w:pStyle w:val="06Annexes"/>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8" w15:restartNumberingAfterBreak="0">
    <w:nsid w:val="51A608E8"/>
    <w:multiLevelType w:val="hybridMultilevel"/>
    <w:tmpl w:val="D6285542"/>
    <w:lvl w:ilvl="0" w:tplc="1C88F50A">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 w15:restartNumberingAfterBreak="0">
    <w:nsid w:val="563E41FF"/>
    <w:multiLevelType w:val="hybridMultilevel"/>
    <w:tmpl w:val="478AEE72"/>
    <w:lvl w:ilvl="0" w:tplc="57A00830">
      <w:start w:val="1"/>
      <w:numFmt w:val="bullet"/>
      <w:pStyle w:val="SPuce"/>
      <w:lvlText w:val="n"/>
      <w:lvlJc w:val="left"/>
      <w:pPr>
        <w:ind w:left="720" w:hanging="360"/>
      </w:pPr>
      <w:rPr>
        <w:rFonts w:ascii="Wingdings" w:hAnsi="Wingdings" w:hint="default"/>
        <w:color w:val="005EB8" w:themeColor="background2"/>
        <w:sz w:val="18"/>
        <w:szCs w:val="18"/>
      </w:rPr>
    </w:lvl>
    <w:lvl w:ilvl="1" w:tplc="7F08D708">
      <w:start w:val="1"/>
      <w:numFmt w:val="bullet"/>
      <w:lvlText w:val="o"/>
      <w:lvlJc w:val="left"/>
      <w:pPr>
        <w:ind w:left="1440" w:hanging="360"/>
      </w:pPr>
      <w:rPr>
        <w:rFonts w:ascii="Courier New" w:hAnsi="Courier New" w:cs="Courier New" w:hint="default"/>
      </w:rPr>
    </w:lvl>
    <w:lvl w:ilvl="2" w:tplc="D85CCC76" w:tentative="1">
      <w:start w:val="1"/>
      <w:numFmt w:val="bullet"/>
      <w:lvlText w:val=""/>
      <w:lvlJc w:val="left"/>
      <w:pPr>
        <w:ind w:left="2160" w:hanging="360"/>
      </w:pPr>
      <w:rPr>
        <w:rFonts w:ascii="Wingdings" w:hAnsi="Wingdings" w:hint="default"/>
      </w:rPr>
    </w:lvl>
    <w:lvl w:ilvl="3" w:tplc="6AE8C5F0" w:tentative="1">
      <w:start w:val="1"/>
      <w:numFmt w:val="bullet"/>
      <w:lvlText w:val=""/>
      <w:lvlJc w:val="left"/>
      <w:pPr>
        <w:ind w:left="2880" w:hanging="360"/>
      </w:pPr>
      <w:rPr>
        <w:rFonts w:ascii="Symbol" w:hAnsi="Symbol" w:hint="default"/>
      </w:rPr>
    </w:lvl>
    <w:lvl w:ilvl="4" w:tplc="419AFD22" w:tentative="1">
      <w:start w:val="1"/>
      <w:numFmt w:val="bullet"/>
      <w:lvlText w:val="o"/>
      <w:lvlJc w:val="left"/>
      <w:pPr>
        <w:ind w:left="3600" w:hanging="360"/>
      </w:pPr>
      <w:rPr>
        <w:rFonts w:ascii="Courier New" w:hAnsi="Courier New" w:cs="Courier New" w:hint="default"/>
      </w:rPr>
    </w:lvl>
    <w:lvl w:ilvl="5" w:tplc="B12C7050" w:tentative="1">
      <w:start w:val="1"/>
      <w:numFmt w:val="bullet"/>
      <w:lvlText w:val=""/>
      <w:lvlJc w:val="left"/>
      <w:pPr>
        <w:ind w:left="4320" w:hanging="360"/>
      </w:pPr>
      <w:rPr>
        <w:rFonts w:ascii="Wingdings" w:hAnsi="Wingdings" w:hint="default"/>
      </w:rPr>
    </w:lvl>
    <w:lvl w:ilvl="6" w:tplc="04D6CCE8" w:tentative="1">
      <w:start w:val="1"/>
      <w:numFmt w:val="bullet"/>
      <w:lvlText w:val=""/>
      <w:lvlJc w:val="left"/>
      <w:pPr>
        <w:ind w:left="5040" w:hanging="360"/>
      </w:pPr>
      <w:rPr>
        <w:rFonts w:ascii="Symbol" w:hAnsi="Symbol" w:hint="default"/>
      </w:rPr>
    </w:lvl>
    <w:lvl w:ilvl="7" w:tplc="6804F3D0" w:tentative="1">
      <w:start w:val="1"/>
      <w:numFmt w:val="bullet"/>
      <w:lvlText w:val="o"/>
      <w:lvlJc w:val="left"/>
      <w:pPr>
        <w:ind w:left="5760" w:hanging="360"/>
      </w:pPr>
      <w:rPr>
        <w:rFonts w:ascii="Courier New" w:hAnsi="Courier New" w:cs="Courier New" w:hint="default"/>
      </w:rPr>
    </w:lvl>
    <w:lvl w:ilvl="8" w:tplc="0E7C0144" w:tentative="1">
      <w:start w:val="1"/>
      <w:numFmt w:val="bullet"/>
      <w:lvlText w:val=""/>
      <w:lvlJc w:val="left"/>
      <w:pPr>
        <w:ind w:left="6480" w:hanging="360"/>
      </w:pPr>
      <w:rPr>
        <w:rFonts w:ascii="Wingdings" w:hAnsi="Wingdings" w:hint="default"/>
      </w:rPr>
    </w:lvl>
  </w:abstractNum>
  <w:abstractNum w:abstractNumId="10" w15:restartNumberingAfterBreak="0">
    <w:nsid w:val="644C0445"/>
    <w:multiLevelType w:val="multilevel"/>
    <w:tmpl w:val="99D62D84"/>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1000" w:hanging="432"/>
      </w:pPr>
      <w:rPr>
        <w:rFonts w:ascii="Calibri" w:hAnsi="Calibri" w:hint="default"/>
        <w:b w:val="0"/>
        <w:bCs/>
        <w:i w:val="0"/>
        <w:iCs w:val="0"/>
        <w:color w:val="005EB8" w:themeColor="background2"/>
        <w:sz w:val="22"/>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abstractNumId w:val="9"/>
  </w:num>
  <w:num w:numId="2">
    <w:abstractNumId w:val="10"/>
  </w:num>
  <w:num w:numId="3">
    <w:abstractNumId w:val="3"/>
  </w:num>
  <w:num w:numId="4">
    <w:abstractNumId w:val="5"/>
  </w:num>
  <w:num w:numId="5">
    <w:abstractNumId w:val="8"/>
  </w:num>
  <w:num w:numId="6">
    <w:abstractNumId w:val="4"/>
  </w:num>
  <w:num w:numId="7">
    <w:abstractNumId w:val="1"/>
  </w:num>
  <w:num w:numId="8">
    <w:abstractNumId w:val="0"/>
    <w:lvlOverride w:ilvl="0">
      <w:lvl w:ilvl="0">
        <w:start w:val="5"/>
        <w:numFmt w:val="bullet"/>
        <w:pStyle w:val="Enumration2"/>
        <w:lvlText w:val="-"/>
        <w:legacy w:legacy="1" w:legacySpace="0" w:legacyIndent="360"/>
        <w:lvlJc w:val="left"/>
        <w:pPr>
          <w:ind w:left="1211" w:hanging="360"/>
        </w:pPr>
      </w:lvl>
    </w:lvlOverride>
  </w:num>
  <w:num w:numId="9">
    <w:abstractNumId w:val="0"/>
    <w:lvlOverride w:ilvl="0">
      <w:lvl w:ilvl="0">
        <w:start w:val="1"/>
        <w:numFmt w:val="bullet"/>
        <w:pStyle w:val="Enumration2"/>
        <w:lvlText w:val=""/>
        <w:legacy w:legacy="1" w:legacySpace="120" w:legacyIndent="360"/>
        <w:lvlJc w:val="left"/>
        <w:pPr>
          <w:ind w:left="720" w:hanging="360"/>
        </w:pPr>
        <w:rPr>
          <w:rFonts w:ascii="Symbol" w:hAnsi="Symbol" w:hint="default"/>
        </w:rPr>
      </w:lvl>
    </w:lvlOverride>
  </w:num>
  <w:num w:numId="10">
    <w:abstractNumId w:val="6"/>
  </w:num>
  <w:num w:numId="11">
    <w:abstractNumId w:val="7"/>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120"/>
  <w:displayHorizontalDrawingGridEvery w:val="2"/>
  <w:displayVerticalDrawingGridEvery w:val="2"/>
  <w:characterSpacingControl w:val="doNotCompress"/>
  <w:hdrShapeDefaults>
    <o:shapedefaults v:ext="edit" spidmax="8193">
      <o:colormru v:ext="edit" colors="#005eb8,#97b1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D8"/>
    <w:rsid w:val="00000923"/>
    <w:rsid w:val="000048C1"/>
    <w:rsid w:val="00004948"/>
    <w:rsid w:val="0000539D"/>
    <w:rsid w:val="0000620C"/>
    <w:rsid w:val="0001079B"/>
    <w:rsid w:val="00010B88"/>
    <w:rsid w:val="00011D87"/>
    <w:rsid w:val="00012659"/>
    <w:rsid w:val="00012AC1"/>
    <w:rsid w:val="0001684C"/>
    <w:rsid w:val="00021185"/>
    <w:rsid w:val="00022001"/>
    <w:rsid w:val="00022561"/>
    <w:rsid w:val="00022CED"/>
    <w:rsid w:val="00024742"/>
    <w:rsid w:val="000253F3"/>
    <w:rsid w:val="000307EB"/>
    <w:rsid w:val="000308D5"/>
    <w:rsid w:val="00031750"/>
    <w:rsid w:val="00032917"/>
    <w:rsid w:val="000331C0"/>
    <w:rsid w:val="000367C4"/>
    <w:rsid w:val="0003718F"/>
    <w:rsid w:val="0004273E"/>
    <w:rsid w:val="0004412B"/>
    <w:rsid w:val="000461E9"/>
    <w:rsid w:val="00046F90"/>
    <w:rsid w:val="000521CF"/>
    <w:rsid w:val="0005323D"/>
    <w:rsid w:val="00053E80"/>
    <w:rsid w:val="00054290"/>
    <w:rsid w:val="00055529"/>
    <w:rsid w:val="00055B57"/>
    <w:rsid w:val="00056D81"/>
    <w:rsid w:val="0005723B"/>
    <w:rsid w:val="00060F96"/>
    <w:rsid w:val="00064494"/>
    <w:rsid w:val="00064DC7"/>
    <w:rsid w:val="0006730C"/>
    <w:rsid w:val="00071030"/>
    <w:rsid w:val="00073420"/>
    <w:rsid w:val="00077B03"/>
    <w:rsid w:val="000801CF"/>
    <w:rsid w:val="00082BFF"/>
    <w:rsid w:val="000844D8"/>
    <w:rsid w:val="00084A74"/>
    <w:rsid w:val="000866F2"/>
    <w:rsid w:val="00087A79"/>
    <w:rsid w:val="00091064"/>
    <w:rsid w:val="00092613"/>
    <w:rsid w:val="00092DA7"/>
    <w:rsid w:val="00092E2A"/>
    <w:rsid w:val="00093982"/>
    <w:rsid w:val="000A1225"/>
    <w:rsid w:val="000A155A"/>
    <w:rsid w:val="000A175B"/>
    <w:rsid w:val="000A1F0A"/>
    <w:rsid w:val="000A2E7C"/>
    <w:rsid w:val="000A4943"/>
    <w:rsid w:val="000A670E"/>
    <w:rsid w:val="000B5E1F"/>
    <w:rsid w:val="000C0832"/>
    <w:rsid w:val="000C0CCD"/>
    <w:rsid w:val="000C1691"/>
    <w:rsid w:val="000C5A96"/>
    <w:rsid w:val="000C5CE7"/>
    <w:rsid w:val="000C7A9A"/>
    <w:rsid w:val="000D6116"/>
    <w:rsid w:val="000D7B39"/>
    <w:rsid w:val="000E0B4B"/>
    <w:rsid w:val="000E12DD"/>
    <w:rsid w:val="000E1ADC"/>
    <w:rsid w:val="000E1C8A"/>
    <w:rsid w:val="000E2157"/>
    <w:rsid w:val="000E2363"/>
    <w:rsid w:val="000E724A"/>
    <w:rsid w:val="000E77FF"/>
    <w:rsid w:val="000F3DDA"/>
    <w:rsid w:val="0010038E"/>
    <w:rsid w:val="001037E8"/>
    <w:rsid w:val="00104824"/>
    <w:rsid w:val="00105C62"/>
    <w:rsid w:val="00111AFB"/>
    <w:rsid w:val="001122FA"/>
    <w:rsid w:val="00112F15"/>
    <w:rsid w:val="0011358A"/>
    <w:rsid w:val="00114720"/>
    <w:rsid w:val="00115265"/>
    <w:rsid w:val="00115A9A"/>
    <w:rsid w:val="00117863"/>
    <w:rsid w:val="0012052E"/>
    <w:rsid w:val="00122AC8"/>
    <w:rsid w:val="0012542E"/>
    <w:rsid w:val="00125D97"/>
    <w:rsid w:val="0013386C"/>
    <w:rsid w:val="001338BA"/>
    <w:rsid w:val="00134AE1"/>
    <w:rsid w:val="00136E8B"/>
    <w:rsid w:val="00137503"/>
    <w:rsid w:val="001438EA"/>
    <w:rsid w:val="00144601"/>
    <w:rsid w:val="00147C13"/>
    <w:rsid w:val="00150337"/>
    <w:rsid w:val="00150B1B"/>
    <w:rsid w:val="00153F63"/>
    <w:rsid w:val="0015762E"/>
    <w:rsid w:val="001578C2"/>
    <w:rsid w:val="00161052"/>
    <w:rsid w:val="00161A5D"/>
    <w:rsid w:val="0016482D"/>
    <w:rsid w:val="00166B96"/>
    <w:rsid w:val="00167C47"/>
    <w:rsid w:val="001723A0"/>
    <w:rsid w:val="00174956"/>
    <w:rsid w:val="001815BE"/>
    <w:rsid w:val="00183C3C"/>
    <w:rsid w:val="00183DE6"/>
    <w:rsid w:val="0018662B"/>
    <w:rsid w:val="00192021"/>
    <w:rsid w:val="00193ECE"/>
    <w:rsid w:val="001972B8"/>
    <w:rsid w:val="001A353F"/>
    <w:rsid w:val="001A37E6"/>
    <w:rsid w:val="001A635C"/>
    <w:rsid w:val="001B21E7"/>
    <w:rsid w:val="001B4CD0"/>
    <w:rsid w:val="001B70E9"/>
    <w:rsid w:val="001C41A2"/>
    <w:rsid w:val="001C41CC"/>
    <w:rsid w:val="001C5D23"/>
    <w:rsid w:val="001C749B"/>
    <w:rsid w:val="001D36B4"/>
    <w:rsid w:val="001D3BEB"/>
    <w:rsid w:val="001D45C0"/>
    <w:rsid w:val="001F031B"/>
    <w:rsid w:val="001F45D7"/>
    <w:rsid w:val="002006F9"/>
    <w:rsid w:val="00201965"/>
    <w:rsid w:val="002040D8"/>
    <w:rsid w:val="002046C5"/>
    <w:rsid w:val="002051EE"/>
    <w:rsid w:val="00206F7F"/>
    <w:rsid w:val="00210306"/>
    <w:rsid w:val="002109E8"/>
    <w:rsid w:val="00211575"/>
    <w:rsid w:val="0021773C"/>
    <w:rsid w:val="00221D87"/>
    <w:rsid w:val="00223858"/>
    <w:rsid w:val="0022679B"/>
    <w:rsid w:val="00227310"/>
    <w:rsid w:val="00230316"/>
    <w:rsid w:val="0023062C"/>
    <w:rsid w:val="00230B23"/>
    <w:rsid w:val="00233868"/>
    <w:rsid w:val="0024241E"/>
    <w:rsid w:val="00242963"/>
    <w:rsid w:val="0024429D"/>
    <w:rsid w:val="00244AF2"/>
    <w:rsid w:val="002455F6"/>
    <w:rsid w:val="00245CDD"/>
    <w:rsid w:val="00246FC1"/>
    <w:rsid w:val="00254BB5"/>
    <w:rsid w:val="00255C9E"/>
    <w:rsid w:val="0025771E"/>
    <w:rsid w:val="0026042E"/>
    <w:rsid w:val="0026120F"/>
    <w:rsid w:val="00262B92"/>
    <w:rsid w:val="002630C1"/>
    <w:rsid w:val="002664D8"/>
    <w:rsid w:val="00270534"/>
    <w:rsid w:val="00274BED"/>
    <w:rsid w:val="00280021"/>
    <w:rsid w:val="00281F5C"/>
    <w:rsid w:val="002900B5"/>
    <w:rsid w:val="00290311"/>
    <w:rsid w:val="00290499"/>
    <w:rsid w:val="0029172A"/>
    <w:rsid w:val="002919A9"/>
    <w:rsid w:val="00292C7F"/>
    <w:rsid w:val="00292EDD"/>
    <w:rsid w:val="00292FDB"/>
    <w:rsid w:val="00294597"/>
    <w:rsid w:val="00295B33"/>
    <w:rsid w:val="002A023F"/>
    <w:rsid w:val="002A09FD"/>
    <w:rsid w:val="002A16AA"/>
    <w:rsid w:val="002A2A9C"/>
    <w:rsid w:val="002B267D"/>
    <w:rsid w:val="002B360A"/>
    <w:rsid w:val="002B3E0E"/>
    <w:rsid w:val="002B4291"/>
    <w:rsid w:val="002B64D3"/>
    <w:rsid w:val="002C1F87"/>
    <w:rsid w:val="002C63A0"/>
    <w:rsid w:val="002C737E"/>
    <w:rsid w:val="002D1E90"/>
    <w:rsid w:val="002D2798"/>
    <w:rsid w:val="002D36D3"/>
    <w:rsid w:val="002D61F8"/>
    <w:rsid w:val="002E0F8A"/>
    <w:rsid w:val="002E4CDF"/>
    <w:rsid w:val="002E7CF3"/>
    <w:rsid w:val="002F17E5"/>
    <w:rsid w:val="002F3301"/>
    <w:rsid w:val="002F4413"/>
    <w:rsid w:val="002F5F37"/>
    <w:rsid w:val="002F63D4"/>
    <w:rsid w:val="002F6A29"/>
    <w:rsid w:val="002F790A"/>
    <w:rsid w:val="00301256"/>
    <w:rsid w:val="00306119"/>
    <w:rsid w:val="0030622C"/>
    <w:rsid w:val="0031074A"/>
    <w:rsid w:val="00314BF4"/>
    <w:rsid w:val="0031567E"/>
    <w:rsid w:val="00320193"/>
    <w:rsid w:val="00320F91"/>
    <w:rsid w:val="00322093"/>
    <w:rsid w:val="003246C4"/>
    <w:rsid w:val="003306EB"/>
    <w:rsid w:val="00331A53"/>
    <w:rsid w:val="00331D96"/>
    <w:rsid w:val="00332656"/>
    <w:rsid w:val="003330D1"/>
    <w:rsid w:val="00333928"/>
    <w:rsid w:val="00333A14"/>
    <w:rsid w:val="00336CEF"/>
    <w:rsid w:val="003370FF"/>
    <w:rsid w:val="00340999"/>
    <w:rsid w:val="00340D12"/>
    <w:rsid w:val="0034766A"/>
    <w:rsid w:val="00353CCC"/>
    <w:rsid w:val="00354D79"/>
    <w:rsid w:val="0035539D"/>
    <w:rsid w:val="00355913"/>
    <w:rsid w:val="00356EA5"/>
    <w:rsid w:val="0036070E"/>
    <w:rsid w:val="003611B1"/>
    <w:rsid w:val="00361FC4"/>
    <w:rsid w:val="00367093"/>
    <w:rsid w:val="00367860"/>
    <w:rsid w:val="00371CE2"/>
    <w:rsid w:val="003721CB"/>
    <w:rsid w:val="003726FF"/>
    <w:rsid w:val="00373D1A"/>
    <w:rsid w:val="003766F6"/>
    <w:rsid w:val="00376A02"/>
    <w:rsid w:val="003773FB"/>
    <w:rsid w:val="00381A6F"/>
    <w:rsid w:val="003833DB"/>
    <w:rsid w:val="00386327"/>
    <w:rsid w:val="003864D6"/>
    <w:rsid w:val="003917CA"/>
    <w:rsid w:val="003927B2"/>
    <w:rsid w:val="00394BFF"/>
    <w:rsid w:val="0039774C"/>
    <w:rsid w:val="00397C05"/>
    <w:rsid w:val="00397CF6"/>
    <w:rsid w:val="003A5AF8"/>
    <w:rsid w:val="003A5B08"/>
    <w:rsid w:val="003A67B6"/>
    <w:rsid w:val="003B1AEC"/>
    <w:rsid w:val="003B4FE0"/>
    <w:rsid w:val="003C2D0C"/>
    <w:rsid w:val="003C4674"/>
    <w:rsid w:val="003C46B3"/>
    <w:rsid w:val="003C6617"/>
    <w:rsid w:val="003C70F5"/>
    <w:rsid w:val="003D3404"/>
    <w:rsid w:val="003D59AB"/>
    <w:rsid w:val="003D73A1"/>
    <w:rsid w:val="003E386B"/>
    <w:rsid w:val="003E3B0F"/>
    <w:rsid w:val="003E6127"/>
    <w:rsid w:val="003E6B10"/>
    <w:rsid w:val="003E7AD6"/>
    <w:rsid w:val="003F17FA"/>
    <w:rsid w:val="003F64BF"/>
    <w:rsid w:val="003F6E5A"/>
    <w:rsid w:val="003F758D"/>
    <w:rsid w:val="003F7B78"/>
    <w:rsid w:val="00403811"/>
    <w:rsid w:val="004038B6"/>
    <w:rsid w:val="00403BC6"/>
    <w:rsid w:val="00405F02"/>
    <w:rsid w:val="00407EA2"/>
    <w:rsid w:val="00411E39"/>
    <w:rsid w:val="00412881"/>
    <w:rsid w:val="00413690"/>
    <w:rsid w:val="004152E5"/>
    <w:rsid w:val="004174DA"/>
    <w:rsid w:val="00417D79"/>
    <w:rsid w:val="00421049"/>
    <w:rsid w:val="00422BC0"/>
    <w:rsid w:val="00425569"/>
    <w:rsid w:val="00426E31"/>
    <w:rsid w:val="004332F8"/>
    <w:rsid w:val="004339E5"/>
    <w:rsid w:val="004375E6"/>
    <w:rsid w:val="00437EAA"/>
    <w:rsid w:val="00442A7C"/>
    <w:rsid w:val="00443682"/>
    <w:rsid w:val="00446014"/>
    <w:rsid w:val="004512AE"/>
    <w:rsid w:val="0045296B"/>
    <w:rsid w:val="00452F62"/>
    <w:rsid w:val="00454E17"/>
    <w:rsid w:val="00455C87"/>
    <w:rsid w:val="00455D6B"/>
    <w:rsid w:val="00456FED"/>
    <w:rsid w:val="004612AD"/>
    <w:rsid w:val="00465CB1"/>
    <w:rsid w:val="00465E5A"/>
    <w:rsid w:val="00466BAA"/>
    <w:rsid w:val="00466FEA"/>
    <w:rsid w:val="00475756"/>
    <w:rsid w:val="00475A5B"/>
    <w:rsid w:val="00475BB3"/>
    <w:rsid w:val="004762D9"/>
    <w:rsid w:val="0048078F"/>
    <w:rsid w:val="00483585"/>
    <w:rsid w:val="00485BBC"/>
    <w:rsid w:val="0048637F"/>
    <w:rsid w:val="00487394"/>
    <w:rsid w:val="0049323B"/>
    <w:rsid w:val="004949F3"/>
    <w:rsid w:val="004965AB"/>
    <w:rsid w:val="00497079"/>
    <w:rsid w:val="004A2E40"/>
    <w:rsid w:val="004A54F0"/>
    <w:rsid w:val="004B0E30"/>
    <w:rsid w:val="004B0FBA"/>
    <w:rsid w:val="004B286E"/>
    <w:rsid w:val="004B398D"/>
    <w:rsid w:val="004B749C"/>
    <w:rsid w:val="004C0B42"/>
    <w:rsid w:val="004C1030"/>
    <w:rsid w:val="004C144E"/>
    <w:rsid w:val="004C549D"/>
    <w:rsid w:val="004C5C59"/>
    <w:rsid w:val="004C733C"/>
    <w:rsid w:val="004C7394"/>
    <w:rsid w:val="004D1CE1"/>
    <w:rsid w:val="004D1F5E"/>
    <w:rsid w:val="004D32BC"/>
    <w:rsid w:val="004D4CBB"/>
    <w:rsid w:val="004D63F7"/>
    <w:rsid w:val="004D77BD"/>
    <w:rsid w:val="004E2489"/>
    <w:rsid w:val="004E60B5"/>
    <w:rsid w:val="004F0D41"/>
    <w:rsid w:val="004F1F28"/>
    <w:rsid w:val="004F5B9C"/>
    <w:rsid w:val="005021DD"/>
    <w:rsid w:val="00502CD5"/>
    <w:rsid w:val="00510A15"/>
    <w:rsid w:val="00510F09"/>
    <w:rsid w:val="00510F83"/>
    <w:rsid w:val="00516697"/>
    <w:rsid w:val="00516906"/>
    <w:rsid w:val="005201E2"/>
    <w:rsid w:val="005240AD"/>
    <w:rsid w:val="00524C70"/>
    <w:rsid w:val="00525835"/>
    <w:rsid w:val="00531530"/>
    <w:rsid w:val="00531988"/>
    <w:rsid w:val="0053593B"/>
    <w:rsid w:val="0053629D"/>
    <w:rsid w:val="00547899"/>
    <w:rsid w:val="00551813"/>
    <w:rsid w:val="00552EC2"/>
    <w:rsid w:val="00552F95"/>
    <w:rsid w:val="005548D1"/>
    <w:rsid w:val="00557525"/>
    <w:rsid w:val="00561D82"/>
    <w:rsid w:val="00565761"/>
    <w:rsid w:val="00570816"/>
    <w:rsid w:val="0057131D"/>
    <w:rsid w:val="0057195E"/>
    <w:rsid w:val="00575136"/>
    <w:rsid w:val="00575A4D"/>
    <w:rsid w:val="00575B23"/>
    <w:rsid w:val="005775FF"/>
    <w:rsid w:val="00582D73"/>
    <w:rsid w:val="005919FA"/>
    <w:rsid w:val="005A0EA0"/>
    <w:rsid w:val="005A0EE0"/>
    <w:rsid w:val="005A11C2"/>
    <w:rsid w:val="005A137F"/>
    <w:rsid w:val="005A4379"/>
    <w:rsid w:val="005A4F2A"/>
    <w:rsid w:val="005A5481"/>
    <w:rsid w:val="005A5E2D"/>
    <w:rsid w:val="005A6477"/>
    <w:rsid w:val="005B2C95"/>
    <w:rsid w:val="005B5A7D"/>
    <w:rsid w:val="005B7009"/>
    <w:rsid w:val="005B750C"/>
    <w:rsid w:val="005C4B9B"/>
    <w:rsid w:val="005C52E9"/>
    <w:rsid w:val="005C5AE7"/>
    <w:rsid w:val="005C6054"/>
    <w:rsid w:val="005C68D9"/>
    <w:rsid w:val="005C6983"/>
    <w:rsid w:val="005C7BFC"/>
    <w:rsid w:val="005D0D2B"/>
    <w:rsid w:val="005D0DFA"/>
    <w:rsid w:val="005D2052"/>
    <w:rsid w:val="005D23B6"/>
    <w:rsid w:val="005D44B6"/>
    <w:rsid w:val="005D5404"/>
    <w:rsid w:val="005E2AA7"/>
    <w:rsid w:val="005E46D4"/>
    <w:rsid w:val="005E7E99"/>
    <w:rsid w:val="005F03B2"/>
    <w:rsid w:val="005F0B4D"/>
    <w:rsid w:val="005F0FC8"/>
    <w:rsid w:val="005F309F"/>
    <w:rsid w:val="005F485F"/>
    <w:rsid w:val="005F4979"/>
    <w:rsid w:val="005F584B"/>
    <w:rsid w:val="00600E58"/>
    <w:rsid w:val="00603041"/>
    <w:rsid w:val="00603793"/>
    <w:rsid w:val="00605FC5"/>
    <w:rsid w:val="00606D2B"/>
    <w:rsid w:val="006156BD"/>
    <w:rsid w:val="00615FF5"/>
    <w:rsid w:val="00616073"/>
    <w:rsid w:val="0061685C"/>
    <w:rsid w:val="0062166B"/>
    <w:rsid w:val="00622DD7"/>
    <w:rsid w:val="00623756"/>
    <w:rsid w:val="006249FE"/>
    <w:rsid w:val="00624A2F"/>
    <w:rsid w:val="00625E10"/>
    <w:rsid w:val="00627F6D"/>
    <w:rsid w:val="00631ABE"/>
    <w:rsid w:val="00633A4D"/>
    <w:rsid w:val="0063483D"/>
    <w:rsid w:val="00634B3E"/>
    <w:rsid w:val="0063633E"/>
    <w:rsid w:val="00636534"/>
    <w:rsid w:val="00637922"/>
    <w:rsid w:val="00652A2B"/>
    <w:rsid w:val="00660AA2"/>
    <w:rsid w:val="00660C53"/>
    <w:rsid w:val="0066213B"/>
    <w:rsid w:val="00663C3B"/>
    <w:rsid w:val="00663E35"/>
    <w:rsid w:val="00663EF8"/>
    <w:rsid w:val="00665B6D"/>
    <w:rsid w:val="00670ED9"/>
    <w:rsid w:val="0067313E"/>
    <w:rsid w:val="00673AF6"/>
    <w:rsid w:val="00674E50"/>
    <w:rsid w:val="0067529B"/>
    <w:rsid w:val="00677B4B"/>
    <w:rsid w:val="00681CA2"/>
    <w:rsid w:val="006825B6"/>
    <w:rsid w:val="00685566"/>
    <w:rsid w:val="00686596"/>
    <w:rsid w:val="00686723"/>
    <w:rsid w:val="00686C58"/>
    <w:rsid w:val="00687035"/>
    <w:rsid w:val="006870D8"/>
    <w:rsid w:val="006912E4"/>
    <w:rsid w:val="006945CB"/>
    <w:rsid w:val="00695671"/>
    <w:rsid w:val="00695ACF"/>
    <w:rsid w:val="006A1DD9"/>
    <w:rsid w:val="006A2188"/>
    <w:rsid w:val="006A5087"/>
    <w:rsid w:val="006B10DA"/>
    <w:rsid w:val="006B3956"/>
    <w:rsid w:val="006C0233"/>
    <w:rsid w:val="006C3236"/>
    <w:rsid w:val="006C4E91"/>
    <w:rsid w:val="006D005B"/>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1B43"/>
    <w:rsid w:val="006F20E6"/>
    <w:rsid w:val="006F2535"/>
    <w:rsid w:val="006F3E15"/>
    <w:rsid w:val="006F6D53"/>
    <w:rsid w:val="00701914"/>
    <w:rsid w:val="007023BB"/>
    <w:rsid w:val="00703831"/>
    <w:rsid w:val="0070437A"/>
    <w:rsid w:val="00704A7D"/>
    <w:rsid w:val="00710023"/>
    <w:rsid w:val="00713F15"/>
    <w:rsid w:val="00716401"/>
    <w:rsid w:val="00721E17"/>
    <w:rsid w:val="007221C4"/>
    <w:rsid w:val="00722366"/>
    <w:rsid w:val="007239F7"/>
    <w:rsid w:val="00723B2E"/>
    <w:rsid w:val="00724C03"/>
    <w:rsid w:val="00724CC2"/>
    <w:rsid w:val="00725028"/>
    <w:rsid w:val="007255F6"/>
    <w:rsid w:val="0072615D"/>
    <w:rsid w:val="00727F58"/>
    <w:rsid w:val="0073102F"/>
    <w:rsid w:val="007341B1"/>
    <w:rsid w:val="00734447"/>
    <w:rsid w:val="00734B73"/>
    <w:rsid w:val="00734E6D"/>
    <w:rsid w:val="00737740"/>
    <w:rsid w:val="00740254"/>
    <w:rsid w:val="007407B8"/>
    <w:rsid w:val="00742772"/>
    <w:rsid w:val="00743752"/>
    <w:rsid w:val="00747835"/>
    <w:rsid w:val="00753D5E"/>
    <w:rsid w:val="00753E09"/>
    <w:rsid w:val="00754CE7"/>
    <w:rsid w:val="0075789B"/>
    <w:rsid w:val="00757D95"/>
    <w:rsid w:val="00763026"/>
    <w:rsid w:val="0076712A"/>
    <w:rsid w:val="007700C6"/>
    <w:rsid w:val="00772398"/>
    <w:rsid w:val="00772D65"/>
    <w:rsid w:val="00773EE1"/>
    <w:rsid w:val="007742CF"/>
    <w:rsid w:val="007756F7"/>
    <w:rsid w:val="00785EB3"/>
    <w:rsid w:val="00791F3F"/>
    <w:rsid w:val="00796378"/>
    <w:rsid w:val="00797BB8"/>
    <w:rsid w:val="007A06E8"/>
    <w:rsid w:val="007A4272"/>
    <w:rsid w:val="007A4FDD"/>
    <w:rsid w:val="007A5B90"/>
    <w:rsid w:val="007A75D1"/>
    <w:rsid w:val="007B2C26"/>
    <w:rsid w:val="007B2D14"/>
    <w:rsid w:val="007B5B14"/>
    <w:rsid w:val="007B68D2"/>
    <w:rsid w:val="007C054B"/>
    <w:rsid w:val="007C07C8"/>
    <w:rsid w:val="007C3270"/>
    <w:rsid w:val="007C357F"/>
    <w:rsid w:val="007C6D16"/>
    <w:rsid w:val="007D0693"/>
    <w:rsid w:val="007D0918"/>
    <w:rsid w:val="007D3B5B"/>
    <w:rsid w:val="007D67AE"/>
    <w:rsid w:val="007E03D4"/>
    <w:rsid w:val="007E20DA"/>
    <w:rsid w:val="007E254B"/>
    <w:rsid w:val="007E374F"/>
    <w:rsid w:val="007E4FCD"/>
    <w:rsid w:val="007E62D2"/>
    <w:rsid w:val="007F0A52"/>
    <w:rsid w:val="00801767"/>
    <w:rsid w:val="00802AF0"/>
    <w:rsid w:val="00803E90"/>
    <w:rsid w:val="008047DE"/>
    <w:rsid w:val="00804A42"/>
    <w:rsid w:val="00805118"/>
    <w:rsid w:val="00805DFD"/>
    <w:rsid w:val="0081103C"/>
    <w:rsid w:val="008149A6"/>
    <w:rsid w:val="00815800"/>
    <w:rsid w:val="0081691C"/>
    <w:rsid w:val="008171E3"/>
    <w:rsid w:val="008212F8"/>
    <w:rsid w:val="008215CD"/>
    <w:rsid w:val="00822E92"/>
    <w:rsid w:val="008236D6"/>
    <w:rsid w:val="00823739"/>
    <w:rsid w:val="008237B0"/>
    <w:rsid w:val="00825C8B"/>
    <w:rsid w:val="00827DF7"/>
    <w:rsid w:val="0083045F"/>
    <w:rsid w:val="00831BA8"/>
    <w:rsid w:val="00831F71"/>
    <w:rsid w:val="008327D5"/>
    <w:rsid w:val="00836C68"/>
    <w:rsid w:val="00837693"/>
    <w:rsid w:val="00840920"/>
    <w:rsid w:val="00850733"/>
    <w:rsid w:val="00853B42"/>
    <w:rsid w:val="00855C61"/>
    <w:rsid w:val="00857777"/>
    <w:rsid w:val="00862D24"/>
    <w:rsid w:val="008635C1"/>
    <w:rsid w:val="00866059"/>
    <w:rsid w:val="008668EA"/>
    <w:rsid w:val="00870040"/>
    <w:rsid w:val="008704DA"/>
    <w:rsid w:val="0087249B"/>
    <w:rsid w:val="00874331"/>
    <w:rsid w:val="008748E5"/>
    <w:rsid w:val="008768F6"/>
    <w:rsid w:val="008822DC"/>
    <w:rsid w:val="00883186"/>
    <w:rsid w:val="008838BA"/>
    <w:rsid w:val="008851E5"/>
    <w:rsid w:val="00886435"/>
    <w:rsid w:val="00886B00"/>
    <w:rsid w:val="00886BDF"/>
    <w:rsid w:val="00887E9A"/>
    <w:rsid w:val="00890F1A"/>
    <w:rsid w:val="00891A7D"/>
    <w:rsid w:val="008934FA"/>
    <w:rsid w:val="008937B2"/>
    <w:rsid w:val="00894084"/>
    <w:rsid w:val="008950E3"/>
    <w:rsid w:val="00897207"/>
    <w:rsid w:val="0089771A"/>
    <w:rsid w:val="008A0797"/>
    <w:rsid w:val="008A14FA"/>
    <w:rsid w:val="008A1D7B"/>
    <w:rsid w:val="008B5A91"/>
    <w:rsid w:val="008B6935"/>
    <w:rsid w:val="008C0B23"/>
    <w:rsid w:val="008C16E9"/>
    <w:rsid w:val="008C258D"/>
    <w:rsid w:val="008C3495"/>
    <w:rsid w:val="008C3EC0"/>
    <w:rsid w:val="008C5715"/>
    <w:rsid w:val="008C66F0"/>
    <w:rsid w:val="008D04D7"/>
    <w:rsid w:val="008D0E0B"/>
    <w:rsid w:val="008D1D6E"/>
    <w:rsid w:val="008D516A"/>
    <w:rsid w:val="008D719B"/>
    <w:rsid w:val="008E263F"/>
    <w:rsid w:val="008E4F12"/>
    <w:rsid w:val="008E5C50"/>
    <w:rsid w:val="008F0C0B"/>
    <w:rsid w:val="008F0DAE"/>
    <w:rsid w:val="00904188"/>
    <w:rsid w:val="00904C61"/>
    <w:rsid w:val="009053B1"/>
    <w:rsid w:val="00906DF8"/>
    <w:rsid w:val="00912B85"/>
    <w:rsid w:val="00914566"/>
    <w:rsid w:val="00914586"/>
    <w:rsid w:val="00914660"/>
    <w:rsid w:val="0091551C"/>
    <w:rsid w:val="00917694"/>
    <w:rsid w:val="00917E0D"/>
    <w:rsid w:val="009261E0"/>
    <w:rsid w:val="00927A59"/>
    <w:rsid w:val="00936B98"/>
    <w:rsid w:val="009379EA"/>
    <w:rsid w:val="0094084F"/>
    <w:rsid w:val="00940E58"/>
    <w:rsid w:val="00941CA7"/>
    <w:rsid w:val="00942D99"/>
    <w:rsid w:val="00943AB5"/>
    <w:rsid w:val="009450B3"/>
    <w:rsid w:val="00945ABD"/>
    <w:rsid w:val="0095074A"/>
    <w:rsid w:val="00952E35"/>
    <w:rsid w:val="009532C7"/>
    <w:rsid w:val="0095342A"/>
    <w:rsid w:val="0095409D"/>
    <w:rsid w:val="009542C9"/>
    <w:rsid w:val="009552E5"/>
    <w:rsid w:val="00956819"/>
    <w:rsid w:val="00960110"/>
    <w:rsid w:val="00961FAC"/>
    <w:rsid w:val="009625EF"/>
    <w:rsid w:val="00964380"/>
    <w:rsid w:val="0097039C"/>
    <w:rsid w:val="00972129"/>
    <w:rsid w:val="00973CCB"/>
    <w:rsid w:val="009767EE"/>
    <w:rsid w:val="00980144"/>
    <w:rsid w:val="00982510"/>
    <w:rsid w:val="00982621"/>
    <w:rsid w:val="00983D6B"/>
    <w:rsid w:val="00991BED"/>
    <w:rsid w:val="009933D6"/>
    <w:rsid w:val="009937AF"/>
    <w:rsid w:val="00995335"/>
    <w:rsid w:val="00995A30"/>
    <w:rsid w:val="009A16A4"/>
    <w:rsid w:val="009A6969"/>
    <w:rsid w:val="009B21D8"/>
    <w:rsid w:val="009B54ED"/>
    <w:rsid w:val="009B586A"/>
    <w:rsid w:val="009C11FE"/>
    <w:rsid w:val="009C3422"/>
    <w:rsid w:val="009C3752"/>
    <w:rsid w:val="009C5878"/>
    <w:rsid w:val="009C6178"/>
    <w:rsid w:val="009C7515"/>
    <w:rsid w:val="009D04C9"/>
    <w:rsid w:val="009D1CC8"/>
    <w:rsid w:val="009D224A"/>
    <w:rsid w:val="009D2A0F"/>
    <w:rsid w:val="009D2C08"/>
    <w:rsid w:val="009D387F"/>
    <w:rsid w:val="009D7083"/>
    <w:rsid w:val="009D740F"/>
    <w:rsid w:val="009D7A9B"/>
    <w:rsid w:val="009E034B"/>
    <w:rsid w:val="009E2E4D"/>
    <w:rsid w:val="009E500D"/>
    <w:rsid w:val="009E53A3"/>
    <w:rsid w:val="009F3D52"/>
    <w:rsid w:val="009F44C2"/>
    <w:rsid w:val="009F498F"/>
    <w:rsid w:val="009F4CD9"/>
    <w:rsid w:val="009F52A9"/>
    <w:rsid w:val="009F6BBA"/>
    <w:rsid w:val="009F78D9"/>
    <w:rsid w:val="00A00495"/>
    <w:rsid w:val="00A00E62"/>
    <w:rsid w:val="00A01B59"/>
    <w:rsid w:val="00A03A1E"/>
    <w:rsid w:val="00A03D83"/>
    <w:rsid w:val="00A042FC"/>
    <w:rsid w:val="00A0748F"/>
    <w:rsid w:val="00A100ED"/>
    <w:rsid w:val="00A1032C"/>
    <w:rsid w:val="00A10C31"/>
    <w:rsid w:val="00A10CF3"/>
    <w:rsid w:val="00A114A2"/>
    <w:rsid w:val="00A157A9"/>
    <w:rsid w:val="00A17548"/>
    <w:rsid w:val="00A2448F"/>
    <w:rsid w:val="00A27347"/>
    <w:rsid w:val="00A31C90"/>
    <w:rsid w:val="00A40D0A"/>
    <w:rsid w:val="00A411BE"/>
    <w:rsid w:val="00A42B47"/>
    <w:rsid w:val="00A42D1B"/>
    <w:rsid w:val="00A446ED"/>
    <w:rsid w:val="00A452CB"/>
    <w:rsid w:val="00A460B7"/>
    <w:rsid w:val="00A47EF9"/>
    <w:rsid w:val="00A51BF5"/>
    <w:rsid w:val="00A552F8"/>
    <w:rsid w:val="00A60847"/>
    <w:rsid w:val="00A60C5C"/>
    <w:rsid w:val="00A6190F"/>
    <w:rsid w:val="00A66B29"/>
    <w:rsid w:val="00A675A8"/>
    <w:rsid w:val="00A67B2F"/>
    <w:rsid w:val="00A72429"/>
    <w:rsid w:val="00A77530"/>
    <w:rsid w:val="00A77BE2"/>
    <w:rsid w:val="00A80CCA"/>
    <w:rsid w:val="00A82974"/>
    <w:rsid w:val="00A83FE5"/>
    <w:rsid w:val="00A84A36"/>
    <w:rsid w:val="00A8576D"/>
    <w:rsid w:val="00A8684F"/>
    <w:rsid w:val="00A8767A"/>
    <w:rsid w:val="00A91B7C"/>
    <w:rsid w:val="00A93808"/>
    <w:rsid w:val="00A93C62"/>
    <w:rsid w:val="00A94769"/>
    <w:rsid w:val="00A9500A"/>
    <w:rsid w:val="00A95046"/>
    <w:rsid w:val="00A96341"/>
    <w:rsid w:val="00A96434"/>
    <w:rsid w:val="00A9781A"/>
    <w:rsid w:val="00A978E9"/>
    <w:rsid w:val="00AA0A5D"/>
    <w:rsid w:val="00AA23BA"/>
    <w:rsid w:val="00AB0C7E"/>
    <w:rsid w:val="00AB2CEB"/>
    <w:rsid w:val="00AB342B"/>
    <w:rsid w:val="00AB6958"/>
    <w:rsid w:val="00AB6FF3"/>
    <w:rsid w:val="00AC2125"/>
    <w:rsid w:val="00AC23C1"/>
    <w:rsid w:val="00AD2891"/>
    <w:rsid w:val="00AD353E"/>
    <w:rsid w:val="00AD6A23"/>
    <w:rsid w:val="00AE1A24"/>
    <w:rsid w:val="00AE1F22"/>
    <w:rsid w:val="00AE3E66"/>
    <w:rsid w:val="00AE57CB"/>
    <w:rsid w:val="00AE581B"/>
    <w:rsid w:val="00AF01B9"/>
    <w:rsid w:val="00AF2EC0"/>
    <w:rsid w:val="00AF4D9E"/>
    <w:rsid w:val="00AF6A43"/>
    <w:rsid w:val="00AF7CFF"/>
    <w:rsid w:val="00B00C61"/>
    <w:rsid w:val="00B015A8"/>
    <w:rsid w:val="00B11191"/>
    <w:rsid w:val="00B1201F"/>
    <w:rsid w:val="00B14828"/>
    <w:rsid w:val="00B169AF"/>
    <w:rsid w:val="00B16AE2"/>
    <w:rsid w:val="00B24A01"/>
    <w:rsid w:val="00B25C0B"/>
    <w:rsid w:val="00B31CCF"/>
    <w:rsid w:val="00B343DB"/>
    <w:rsid w:val="00B347C1"/>
    <w:rsid w:val="00B35D08"/>
    <w:rsid w:val="00B361DD"/>
    <w:rsid w:val="00B36813"/>
    <w:rsid w:val="00B401A0"/>
    <w:rsid w:val="00B4181E"/>
    <w:rsid w:val="00B43BBD"/>
    <w:rsid w:val="00B44E18"/>
    <w:rsid w:val="00B5245F"/>
    <w:rsid w:val="00B53461"/>
    <w:rsid w:val="00B5447B"/>
    <w:rsid w:val="00B54DAA"/>
    <w:rsid w:val="00B5542A"/>
    <w:rsid w:val="00B6045F"/>
    <w:rsid w:val="00B608B9"/>
    <w:rsid w:val="00B62029"/>
    <w:rsid w:val="00B663C6"/>
    <w:rsid w:val="00B664F9"/>
    <w:rsid w:val="00B66B60"/>
    <w:rsid w:val="00B6776B"/>
    <w:rsid w:val="00B70258"/>
    <w:rsid w:val="00B72E65"/>
    <w:rsid w:val="00B75180"/>
    <w:rsid w:val="00B75A4E"/>
    <w:rsid w:val="00B775DB"/>
    <w:rsid w:val="00B80623"/>
    <w:rsid w:val="00B80F10"/>
    <w:rsid w:val="00B85220"/>
    <w:rsid w:val="00B861A0"/>
    <w:rsid w:val="00B86D0B"/>
    <w:rsid w:val="00B87B44"/>
    <w:rsid w:val="00B92442"/>
    <w:rsid w:val="00B93E62"/>
    <w:rsid w:val="00B963B3"/>
    <w:rsid w:val="00BA0480"/>
    <w:rsid w:val="00BA51DA"/>
    <w:rsid w:val="00BA5DE1"/>
    <w:rsid w:val="00BA6A6D"/>
    <w:rsid w:val="00BB0C10"/>
    <w:rsid w:val="00BB1678"/>
    <w:rsid w:val="00BB2832"/>
    <w:rsid w:val="00BB4BE4"/>
    <w:rsid w:val="00BB6E79"/>
    <w:rsid w:val="00BC0E7B"/>
    <w:rsid w:val="00BC12D8"/>
    <w:rsid w:val="00BC147C"/>
    <w:rsid w:val="00BC345D"/>
    <w:rsid w:val="00BC47BB"/>
    <w:rsid w:val="00BC6E54"/>
    <w:rsid w:val="00BC6E81"/>
    <w:rsid w:val="00BC7CBF"/>
    <w:rsid w:val="00BD0139"/>
    <w:rsid w:val="00BD3A97"/>
    <w:rsid w:val="00BD4992"/>
    <w:rsid w:val="00BD5ECC"/>
    <w:rsid w:val="00BE00FB"/>
    <w:rsid w:val="00BE1991"/>
    <w:rsid w:val="00BE5D72"/>
    <w:rsid w:val="00BE62D8"/>
    <w:rsid w:val="00BF72AE"/>
    <w:rsid w:val="00C019D5"/>
    <w:rsid w:val="00C02A88"/>
    <w:rsid w:val="00C031B1"/>
    <w:rsid w:val="00C10609"/>
    <w:rsid w:val="00C10C98"/>
    <w:rsid w:val="00C12B73"/>
    <w:rsid w:val="00C133EC"/>
    <w:rsid w:val="00C14DA9"/>
    <w:rsid w:val="00C1588E"/>
    <w:rsid w:val="00C16CAD"/>
    <w:rsid w:val="00C17792"/>
    <w:rsid w:val="00C21BF6"/>
    <w:rsid w:val="00C245CE"/>
    <w:rsid w:val="00C25D3E"/>
    <w:rsid w:val="00C30E18"/>
    <w:rsid w:val="00C32DF2"/>
    <w:rsid w:val="00C41980"/>
    <w:rsid w:val="00C432AD"/>
    <w:rsid w:val="00C436B5"/>
    <w:rsid w:val="00C44588"/>
    <w:rsid w:val="00C46323"/>
    <w:rsid w:val="00C465D2"/>
    <w:rsid w:val="00C47047"/>
    <w:rsid w:val="00C518D4"/>
    <w:rsid w:val="00C53C7C"/>
    <w:rsid w:val="00C60DB8"/>
    <w:rsid w:val="00C61FA9"/>
    <w:rsid w:val="00C62E74"/>
    <w:rsid w:val="00C642BF"/>
    <w:rsid w:val="00C67432"/>
    <w:rsid w:val="00C713CC"/>
    <w:rsid w:val="00C73DB8"/>
    <w:rsid w:val="00C767F8"/>
    <w:rsid w:val="00C77474"/>
    <w:rsid w:val="00C810B5"/>
    <w:rsid w:val="00C835B1"/>
    <w:rsid w:val="00C848FD"/>
    <w:rsid w:val="00C8499D"/>
    <w:rsid w:val="00C864A2"/>
    <w:rsid w:val="00C91E16"/>
    <w:rsid w:val="00C923AC"/>
    <w:rsid w:val="00C939AB"/>
    <w:rsid w:val="00C94E67"/>
    <w:rsid w:val="00C95DFA"/>
    <w:rsid w:val="00C971D6"/>
    <w:rsid w:val="00CA1A4E"/>
    <w:rsid w:val="00CA1F6C"/>
    <w:rsid w:val="00CA21EE"/>
    <w:rsid w:val="00CA3C40"/>
    <w:rsid w:val="00CA4C4A"/>
    <w:rsid w:val="00CB1B6C"/>
    <w:rsid w:val="00CB377A"/>
    <w:rsid w:val="00CB4868"/>
    <w:rsid w:val="00CB5786"/>
    <w:rsid w:val="00CB7127"/>
    <w:rsid w:val="00CB72BD"/>
    <w:rsid w:val="00CC158E"/>
    <w:rsid w:val="00CC1C9D"/>
    <w:rsid w:val="00CC3484"/>
    <w:rsid w:val="00CC4C7E"/>
    <w:rsid w:val="00CC5642"/>
    <w:rsid w:val="00CC7291"/>
    <w:rsid w:val="00CC7803"/>
    <w:rsid w:val="00CD080E"/>
    <w:rsid w:val="00CD22E9"/>
    <w:rsid w:val="00CD2A8F"/>
    <w:rsid w:val="00CD498C"/>
    <w:rsid w:val="00CD4E25"/>
    <w:rsid w:val="00CD6D26"/>
    <w:rsid w:val="00CD6F3B"/>
    <w:rsid w:val="00CE16AE"/>
    <w:rsid w:val="00CE620A"/>
    <w:rsid w:val="00CF0D7B"/>
    <w:rsid w:val="00CF2C88"/>
    <w:rsid w:val="00CF302C"/>
    <w:rsid w:val="00CF3363"/>
    <w:rsid w:val="00CF5541"/>
    <w:rsid w:val="00CF5DBC"/>
    <w:rsid w:val="00D00715"/>
    <w:rsid w:val="00D0264B"/>
    <w:rsid w:val="00D06FC4"/>
    <w:rsid w:val="00D12B43"/>
    <w:rsid w:val="00D14355"/>
    <w:rsid w:val="00D14993"/>
    <w:rsid w:val="00D2034C"/>
    <w:rsid w:val="00D2172F"/>
    <w:rsid w:val="00D254D2"/>
    <w:rsid w:val="00D25E2C"/>
    <w:rsid w:val="00D265DE"/>
    <w:rsid w:val="00D2778C"/>
    <w:rsid w:val="00D325FD"/>
    <w:rsid w:val="00D32750"/>
    <w:rsid w:val="00D329A2"/>
    <w:rsid w:val="00D32D58"/>
    <w:rsid w:val="00D3365D"/>
    <w:rsid w:val="00D36434"/>
    <w:rsid w:val="00D368C7"/>
    <w:rsid w:val="00D3789D"/>
    <w:rsid w:val="00D4314C"/>
    <w:rsid w:val="00D443BF"/>
    <w:rsid w:val="00D45632"/>
    <w:rsid w:val="00D506E4"/>
    <w:rsid w:val="00D51FBB"/>
    <w:rsid w:val="00D542E6"/>
    <w:rsid w:val="00D54B02"/>
    <w:rsid w:val="00D54B1B"/>
    <w:rsid w:val="00D567A8"/>
    <w:rsid w:val="00D573FD"/>
    <w:rsid w:val="00D60930"/>
    <w:rsid w:val="00D625BC"/>
    <w:rsid w:val="00D6453F"/>
    <w:rsid w:val="00D65155"/>
    <w:rsid w:val="00D77637"/>
    <w:rsid w:val="00D801A4"/>
    <w:rsid w:val="00D8185B"/>
    <w:rsid w:val="00D81AB6"/>
    <w:rsid w:val="00D82FA7"/>
    <w:rsid w:val="00D838C9"/>
    <w:rsid w:val="00D84832"/>
    <w:rsid w:val="00D851FB"/>
    <w:rsid w:val="00D861EF"/>
    <w:rsid w:val="00D874C9"/>
    <w:rsid w:val="00D93001"/>
    <w:rsid w:val="00D93AC2"/>
    <w:rsid w:val="00D94064"/>
    <w:rsid w:val="00D94FEC"/>
    <w:rsid w:val="00DA0A2B"/>
    <w:rsid w:val="00DA4043"/>
    <w:rsid w:val="00DA4A9B"/>
    <w:rsid w:val="00DA5F1A"/>
    <w:rsid w:val="00DA601A"/>
    <w:rsid w:val="00DA74BD"/>
    <w:rsid w:val="00DA7A6F"/>
    <w:rsid w:val="00DB1A3C"/>
    <w:rsid w:val="00DB1D5E"/>
    <w:rsid w:val="00DB538E"/>
    <w:rsid w:val="00DB663D"/>
    <w:rsid w:val="00DB6FC7"/>
    <w:rsid w:val="00DB7B84"/>
    <w:rsid w:val="00DC0BDC"/>
    <w:rsid w:val="00DC128C"/>
    <w:rsid w:val="00DC30DF"/>
    <w:rsid w:val="00DC3F4D"/>
    <w:rsid w:val="00DC45BF"/>
    <w:rsid w:val="00DC5BDB"/>
    <w:rsid w:val="00DC6179"/>
    <w:rsid w:val="00DC643C"/>
    <w:rsid w:val="00DC6C22"/>
    <w:rsid w:val="00DC7610"/>
    <w:rsid w:val="00DD12D0"/>
    <w:rsid w:val="00DD3DEF"/>
    <w:rsid w:val="00DE1CDE"/>
    <w:rsid w:val="00DE2C37"/>
    <w:rsid w:val="00DE33E3"/>
    <w:rsid w:val="00DE3779"/>
    <w:rsid w:val="00DE3ABD"/>
    <w:rsid w:val="00DE5CE8"/>
    <w:rsid w:val="00DE6BDE"/>
    <w:rsid w:val="00DF2819"/>
    <w:rsid w:val="00DF32C1"/>
    <w:rsid w:val="00DF6D0B"/>
    <w:rsid w:val="00E016FC"/>
    <w:rsid w:val="00E019CD"/>
    <w:rsid w:val="00E0320F"/>
    <w:rsid w:val="00E03944"/>
    <w:rsid w:val="00E0413F"/>
    <w:rsid w:val="00E042B8"/>
    <w:rsid w:val="00E0442F"/>
    <w:rsid w:val="00E04F4B"/>
    <w:rsid w:val="00E05C37"/>
    <w:rsid w:val="00E06F27"/>
    <w:rsid w:val="00E07E8B"/>
    <w:rsid w:val="00E10D23"/>
    <w:rsid w:val="00E116CC"/>
    <w:rsid w:val="00E11A3C"/>
    <w:rsid w:val="00E153BA"/>
    <w:rsid w:val="00E17A59"/>
    <w:rsid w:val="00E20718"/>
    <w:rsid w:val="00E21667"/>
    <w:rsid w:val="00E2208E"/>
    <w:rsid w:val="00E22EF3"/>
    <w:rsid w:val="00E230F2"/>
    <w:rsid w:val="00E2412C"/>
    <w:rsid w:val="00E2693A"/>
    <w:rsid w:val="00E27930"/>
    <w:rsid w:val="00E30BD9"/>
    <w:rsid w:val="00E30CAF"/>
    <w:rsid w:val="00E31970"/>
    <w:rsid w:val="00E33246"/>
    <w:rsid w:val="00E334C0"/>
    <w:rsid w:val="00E33798"/>
    <w:rsid w:val="00E347FD"/>
    <w:rsid w:val="00E34EF0"/>
    <w:rsid w:val="00E4053F"/>
    <w:rsid w:val="00E41BBE"/>
    <w:rsid w:val="00E41FDA"/>
    <w:rsid w:val="00E42DF7"/>
    <w:rsid w:val="00E42E25"/>
    <w:rsid w:val="00E45855"/>
    <w:rsid w:val="00E45B07"/>
    <w:rsid w:val="00E45D6A"/>
    <w:rsid w:val="00E468F5"/>
    <w:rsid w:val="00E4745D"/>
    <w:rsid w:val="00E51A48"/>
    <w:rsid w:val="00E531A5"/>
    <w:rsid w:val="00E545C4"/>
    <w:rsid w:val="00E553B5"/>
    <w:rsid w:val="00E5703F"/>
    <w:rsid w:val="00E7080B"/>
    <w:rsid w:val="00E73B13"/>
    <w:rsid w:val="00E7498D"/>
    <w:rsid w:val="00E76F56"/>
    <w:rsid w:val="00E775C0"/>
    <w:rsid w:val="00E813EC"/>
    <w:rsid w:val="00E818ED"/>
    <w:rsid w:val="00E81AB2"/>
    <w:rsid w:val="00E82A53"/>
    <w:rsid w:val="00E838CC"/>
    <w:rsid w:val="00EA0627"/>
    <w:rsid w:val="00EA23FD"/>
    <w:rsid w:val="00EA3300"/>
    <w:rsid w:val="00EA5159"/>
    <w:rsid w:val="00EA79D7"/>
    <w:rsid w:val="00EB21F5"/>
    <w:rsid w:val="00EB226A"/>
    <w:rsid w:val="00EB5CB8"/>
    <w:rsid w:val="00EC0194"/>
    <w:rsid w:val="00EC0EFA"/>
    <w:rsid w:val="00EC3576"/>
    <w:rsid w:val="00EC434B"/>
    <w:rsid w:val="00EC6A73"/>
    <w:rsid w:val="00ED32EC"/>
    <w:rsid w:val="00ED6E5F"/>
    <w:rsid w:val="00ED7912"/>
    <w:rsid w:val="00EE0418"/>
    <w:rsid w:val="00EE1634"/>
    <w:rsid w:val="00EE3566"/>
    <w:rsid w:val="00EE566F"/>
    <w:rsid w:val="00EE6355"/>
    <w:rsid w:val="00EF20DA"/>
    <w:rsid w:val="00EF2511"/>
    <w:rsid w:val="00EF3062"/>
    <w:rsid w:val="00EF482C"/>
    <w:rsid w:val="00EF7966"/>
    <w:rsid w:val="00F00F58"/>
    <w:rsid w:val="00F015ED"/>
    <w:rsid w:val="00F01600"/>
    <w:rsid w:val="00F02172"/>
    <w:rsid w:val="00F03397"/>
    <w:rsid w:val="00F073F5"/>
    <w:rsid w:val="00F07494"/>
    <w:rsid w:val="00F077F8"/>
    <w:rsid w:val="00F07DFE"/>
    <w:rsid w:val="00F107C2"/>
    <w:rsid w:val="00F121F3"/>
    <w:rsid w:val="00F12B17"/>
    <w:rsid w:val="00F20451"/>
    <w:rsid w:val="00F25ABE"/>
    <w:rsid w:val="00F26C5C"/>
    <w:rsid w:val="00F31E24"/>
    <w:rsid w:val="00F33F39"/>
    <w:rsid w:val="00F34F82"/>
    <w:rsid w:val="00F5327A"/>
    <w:rsid w:val="00F55217"/>
    <w:rsid w:val="00F56684"/>
    <w:rsid w:val="00F57F41"/>
    <w:rsid w:val="00F64943"/>
    <w:rsid w:val="00F65C25"/>
    <w:rsid w:val="00F667D0"/>
    <w:rsid w:val="00F66DF2"/>
    <w:rsid w:val="00F6710B"/>
    <w:rsid w:val="00F67390"/>
    <w:rsid w:val="00F73733"/>
    <w:rsid w:val="00F74246"/>
    <w:rsid w:val="00F818B5"/>
    <w:rsid w:val="00F84F73"/>
    <w:rsid w:val="00F8593A"/>
    <w:rsid w:val="00F85D9C"/>
    <w:rsid w:val="00F87087"/>
    <w:rsid w:val="00F87999"/>
    <w:rsid w:val="00F9053F"/>
    <w:rsid w:val="00F915A4"/>
    <w:rsid w:val="00F92A40"/>
    <w:rsid w:val="00F96C09"/>
    <w:rsid w:val="00F97290"/>
    <w:rsid w:val="00F97BA3"/>
    <w:rsid w:val="00FA0EB3"/>
    <w:rsid w:val="00FA158B"/>
    <w:rsid w:val="00FA178C"/>
    <w:rsid w:val="00FA2896"/>
    <w:rsid w:val="00FA5F64"/>
    <w:rsid w:val="00FA70F4"/>
    <w:rsid w:val="00FA793F"/>
    <w:rsid w:val="00FB000C"/>
    <w:rsid w:val="00FB0302"/>
    <w:rsid w:val="00FB0D2F"/>
    <w:rsid w:val="00FB244D"/>
    <w:rsid w:val="00FB4B31"/>
    <w:rsid w:val="00FB55DA"/>
    <w:rsid w:val="00FB5892"/>
    <w:rsid w:val="00FB6494"/>
    <w:rsid w:val="00FC2091"/>
    <w:rsid w:val="00FC25B8"/>
    <w:rsid w:val="00FC3221"/>
    <w:rsid w:val="00FC383A"/>
    <w:rsid w:val="00FC4221"/>
    <w:rsid w:val="00FC44AF"/>
    <w:rsid w:val="00FC54DE"/>
    <w:rsid w:val="00FC5D5D"/>
    <w:rsid w:val="00FD15E6"/>
    <w:rsid w:val="00FD169A"/>
    <w:rsid w:val="00FD1BED"/>
    <w:rsid w:val="00FD2A23"/>
    <w:rsid w:val="00FD2D31"/>
    <w:rsid w:val="00FD6009"/>
    <w:rsid w:val="00FE024D"/>
    <w:rsid w:val="00FE07A7"/>
    <w:rsid w:val="00FE09EB"/>
    <w:rsid w:val="00FE1357"/>
    <w:rsid w:val="00FE4E98"/>
    <w:rsid w:val="00FE5E48"/>
    <w:rsid w:val="00FE7451"/>
    <w:rsid w:val="00FF0038"/>
    <w:rsid w:val="00FF0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5eb8,#97b1da"/>
    </o:shapedefaults>
    <o:shapelayout v:ext="edit">
      <o:idmap v:ext="edit" data="1"/>
    </o:shapelayout>
  </w:shapeDefaults>
  <w:decimalSymbol w:val=","/>
  <w:listSeparator w:val=";"/>
  <w14:docId w14:val="2CE20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752"/>
    <w:pPr>
      <w:spacing w:before="120" w:after="120"/>
      <w:jc w:val="both"/>
    </w:pPr>
    <w:rPr>
      <w:rFonts w:asciiTheme="minorHAnsi" w:hAnsiTheme="minorHAnsi"/>
    </w:rPr>
  </w:style>
  <w:style w:type="paragraph" w:styleId="Titre1">
    <w:name w:val="heading 1"/>
    <w:aliases w:val="Section,Chapitre RTE"/>
    <w:basedOn w:val="STitre1"/>
    <w:next w:val="Normal"/>
    <w:link w:val="Titre1Car"/>
    <w:qFormat/>
    <w:rsid w:val="00DC643C"/>
    <w:pPr>
      <w:spacing w:before="360" w:after="240"/>
    </w:pPr>
  </w:style>
  <w:style w:type="paragraph" w:styleId="Titre2">
    <w:name w:val="heading 2"/>
    <w:aliases w:val="Gldg. 1"/>
    <w:basedOn w:val="STitre2"/>
    <w:next w:val="Normal"/>
    <w:link w:val="Titre2Car"/>
    <w:qFormat/>
    <w:rsid w:val="009C3752"/>
    <w:pPr>
      <w:spacing w:before="240" w:after="240"/>
    </w:pPr>
  </w:style>
  <w:style w:type="paragraph" w:styleId="Titre3">
    <w:name w:val="heading 3"/>
    <w:aliases w:val="Gldg.2"/>
    <w:basedOn w:val="STitre3"/>
    <w:next w:val="Normal"/>
    <w:link w:val="Titre3Car"/>
    <w:qFormat/>
    <w:rsid w:val="000C0CCD"/>
    <w:pPr>
      <w:spacing w:before="240"/>
    </w:pPr>
  </w:style>
  <w:style w:type="paragraph" w:styleId="Titre4">
    <w:name w:val="heading 4"/>
    <w:aliases w:val="Gldg.3"/>
    <w:basedOn w:val="STitre4"/>
    <w:next w:val="Normal"/>
    <w:link w:val="Titre4Car"/>
    <w:qFormat/>
    <w:rsid w:val="000C0CCD"/>
    <w:pPr>
      <w:spacing w:before="200"/>
    </w:pPr>
  </w:style>
  <w:style w:type="paragraph" w:styleId="Titre5">
    <w:name w:val="heading 5"/>
    <w:basedOn w:val="STitre5"/>
    <w:next w:val="Normal"/>
    <w:link w:val="Titre5Car"/>
    <w:qFormat/>
    <w:rsid w:val="000C0CCD"/>
    <w:pPr>
      <w:spacing w:before="160"/>
    </w:pPr>
  </w:style>
  <w:style w:type="paragraph" w:styleId="Titre6">
    <w:name w:val="heading 6"/>
    <w:basedOn w:val="Normal"/>
    <w:next w:val="Normal"/>
    <w:link w:val="Titre6Car"/>
    <w:qFormat/>
    <w:rsid w:val="00F97290"/>
    <w:pPr>
      <w:tabs>
        <w:tab w:val="num" w:pos="1418"/>
      </w:tabs>
      <w:spacing w:before="240" w:after="60"/>
      <w:ind w:left="1418" w:hanging="1134"/>
      <w:outlineLvl w:val="5"/>
    </w:pPr>
    <w:rPr>
      <w:rFonts w:ascii="Calibri" w:hAnsi="Calibri" w:cs="Arial"/>
      <w:i/>
      <w:iCs/>
      <w:color w:val="auto"/>
      <w:sz w:val="18"/>
      <w:szCs w:val="22"/>
    </w:rPr>
  </w:style>
  <w:style w:type="paragraph" w:styleId="Titre7">
    <w:name w:val="heading 7"/>
    <w:basedOn w:val="Normal"/>
    <w:next w:val="Normal"/>
    <w:link w:val="Titre7Car"/>
    <w:qFormat/>
    <w:rsid w:val="00F97290"/>
    <w:pPr>
      <w:tabs>
        <w:tab w:val="num" w:pos="1296"/>
      </w:tabs>
      <w:spacing w:before="240" w:after="60"/>
      <w:ind w:left="1296" w:hanging="1296"/>
      <w:outlineLvl w:val="6"/>
    </w:pPr>
    <w:rPr>
      <w:rFonts w:ascii="Calibri" w:hAnsi="Calibri"/>
      <w:color w:val="auto"/>
      <w:szCs w:val="24"/>
    </w:rPr>
  </w:style>
  <w:style w:type="paragraph" w:styleId="Titre8">
    <w:name w:val="heading 8"/>
    <w:basedOn w:val="Normal"/>
    <w:next w:val="Normal"/>
    <w:link w:val="Titre8Car"/>
    <w:qFormat/>
    <w:rsid w:val="00F97290"/>
    <w:pPr>
      <w:tabs>
        <w:tab w:val="num" w:pos="1440"/>
      </w:tabs>
      <w:spacing w:before="240" w:after="60"/>
      <w:ind w:left="1440" w:hanging="1440"/>
      <w:outlineLvl w:val="7"/>
    </w:pPr>
    <w:rPr>
      <w:rFonts w:ascii="Calibri" w:hAnsi="Calibri"/>
      <w:i/>
      <w:iCs/>
      <w:color w:val="auto"/>
      <w:szCs w:val="24"/>
    </w:rPr>
  </w:style>
  <w:style w:type="paragraph" w:styleId="Titre9">
    <w:name w:val="heading 9"/>
    <w:basedOn w:val="Normal"/>
    <w:next w:val="Normal"/>
    <w:link w:val="Titre9Car"/>
    <w:qFormat/>
    <w:rsid w:val="00F97290"/>
    <w:pPr>
      <w:tabs>
        <w:tab w:val="num" w:pos="1584"/>
      </w:tabs>
      <w:spacing w:before="240" w:after="60"/>
      <w:ind w:left="1584" w:hanging="1584"/>
      <w:outlineLvl w:val="8"/>
    </w:pPr>
    <w:rPr>
      <w:rFonts w:ascii="Calibri" w:hAnsi="Calibri" w:cs="Arial"/>
      <w:color w:val="auto"/>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rsid w:val="00DC643C"/>
    <w:rPr>
      <w:rFonts w:ascii="Calibri" w:eastAsiaTheme="minorEastAsia" w:hAnsi="Calibri" w:cstheme="minorBidi"/>
      <w:b/>
      <w:color w:val="005EB8" w:themeColor="background2"/>
      <w:sz w:val="24"/>
    </w:rPr>
  </w:style>
  <w:style w:type="character" w:customStyle="1" w:styleId="Titre2Car">
    <w:name w:val="Titre 2 Car"/>
    <w:aliases w:val="Gldg. 1 Car"/>
    <w:basedOn w:val="Policepardfaut"/>
    <w:link w:val="Titre2"/>
    <w:rsid w:val="009C3752"/>
    <w:rPr>
      <w:rFonts w:ascii="Calibri" w:eastAsiaTheme="minorEastAsia" w:hAnsi="Calibri" w:cstheme="minorBidi"/>
      <w:bCs/>
      <w:color w:val="005EB8" w:themeColor="background2"/>
      <w:sz w:val="22"/>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3726FF"/>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jc w:val="lef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411BE"/>
    <w:pPr>
      <w:numPr>
        <w:numId w:val="1"/>
      </w:numPr>
      <w:spacing w:before="4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ind w:left="357" w:hanging="357"/>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2"/>
      </w:numPr>
      <w:ind w:left="794" w:hanging="397"/>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ind w:left="1225" w:hanging="505"/>
      <w:outlineLvl w:val="2"/>
    </w:pPr>
    <w:rPr>
      <w:color w:val="575757" w:themeColor="text1"/>
      <w:sz w:val="20"/>
    </w:rPr>
  </w:style>
  <w:style w:type="paragraph" w:customStyle="1" w:styleId="STitre4">
    <w:name w:val="S_Titre 4"/>
    <w:basedOn w:val="STitre1"/>
    <w:next w:val="Normal"/>
    <w:qFormat/>
    <w:rsid w:val="00631ABE"/>
    <w:pPr>
      <w:numPr>
        <w:ilvl w:val="3"/>
      </w:numPr>
      <w:ind w:left="1723" w:hanging="646"/>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726FF"/>
    <w:pPr>
      <w:tabs>
        <w:tab w:val="left" w:pos="993"/>
        <w:tab w:val="right" w:leader="dot" w:pos="10308"/>
      </w:tabs>
      <w:spacing w:before="80" w:after="80"/>
      <w:ind w:left="851" w:hanging="397"/>
      <w:contextualSpacing/>
      <w:jc w:val="left"/>
    </w:pPr>
    <w:rPr>
      <w:color w:val="005EB8" w:themeColor="background2"/>
      <w:sz w:val="22"/>
    </w:rPr>
  </w:style>
  <w:style w:type="paragraph" w:styleId="TM3">
    <w:name w:val="toc 3"/>
    <w:basedOn w:val="Normal"/>
    <w:next w:val="Normal"/>
    <w:autoRedefine/>
    <w:uiPriority w:val="39"/>
    <w:rsid w:val="003726FF"/>
    <w:pPr>
      <w:tabs>
        <w:tab w:val="right" w:leader="dot" w:pos="10308"/>
      </w:tabs>
      <w:spacing w:before="40" w:after="40"/>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character" w:customStyle="1" w:styleId="Titre3Car">
    <w:name w:val="Titre 3 Car"/>
    <w:aliases w:val="Gldg.2 Car"/>
    <w:basedOn w:val="Policepardfaut"/>
    <w:link w:val="Titre3"/>
    <w:rsid w:val="000C0CCD"/>
    <w:rPr>
      <w:rFonts w:ascii="Calibri" w:eastAsiaTheme="minorEastAsia" w:hAnsi="Calibri" w:cstheme="minorBidi"/>
      <w:b/>
    </w:rPr>
  </w:style>
  <w:style w:type="character" w:customStyle="1" w:styleId="Titre4Car">
    <w:name w:val="Titre 4 Car"/>
    <w:aliases w:val="Gldg.3 Car"/>
    <w:basedOn w:val="Policepardfaut"/>
    <w:link w:val="Titre4"/>
    <w:rsid w:val="000C0CCD"/>
    <w:rPr>
      <w:rFonts w:ascii="Calibri" w:eastAsiaTheme="minorEastAsia" w:hAnsi="Calibri" w:cstheme="minorBidi"/>
      <w:color w:val="505150"/>
    </w:rPr>
  </w:style>
  <w:style w:type="character" w:customStyle="1" w:styleId="Titre5Car">
    <w:name w:val="Titre 5 Car"/>
    <w:basedOn w:val="Policepardfaut"/>
    <w:link w:val="Titre5"/>
    <w:rsid w:val="000C0CCD"/>
    <w:rPr>
      <w:rFonts w:ascii="Calibri" w:eastAsiaTheme="minorEastAsia" w:hAnsi="Calibri" w:cstheme="minorBidi"/>
      <w:i/>
      <w:color w:val="505150"/>
    </w:rPr>
  </w:style>
  <w:style w:type="character" w:customStyle="1" w:styleId="Titre6Car">
    <w:name w:val="Titre 6 Car"/>
    <w:basedOn w:val="Policepardfaut"/>
    <w:link w:val="Titre6"/>
    <w:rsid w:val="00F97290"/>
    <w:rPr>
      <w:rFonts w:ascii="Calibri" w:hAnsi="Calibri" w:cs="Arial"/>
      <w:i/>
      <w:iCs/>
      <w:color w:val="auto"/>
      <w:sz w:val="18"/>
      <w:szCs w:val="22"/>
    </w:rPr>
  </w:style>
  <w:style w:type="character" w:customStyle="1" w:styleId="Titre7Car">
    <w:name w:val="Titre 7 Car"/>
    <w:basedOn w:val="Policepardfaut"/>
    <w:link w:val="Titre7"/>
    <w:rsid w:val="00F97290"/>
    <w:rPr>
      <w:rFonts w:ascii="Calibri" w:hAnsi="Calibri"/>
      <w:color w:val="auto"/>
      <w:szCs w:val="24"/>
    </w:rPr>
  </w:style>
  <w:style w:type="character" w:customStyle="1" w:styleId="Titre8Car">
    <w:name w:val="Titre 8 Car"/>
    <w:basedOn w:val="Policepardfaut"/>
    <w:link w:val="Titre8"/>
    <w:rsid w:val="00F97290"/>
    <w:rPr>
      <w:rFonts w:ascii="Calibri" w:hAnsi="Calibri"/>
      <w:i/>
      <w:iCs/>
      <w:color w:val="auto"/>
      <w:szCs w:val="24"/>
    </w:rPr>
  </w:style>
  <w:style w:type="character" w:customStyle="1" w:styleId="Titre9Car">
    <w:name w:val="Titre 9 Car"/>
    <w:basedOn w:val="Policepardfaut"/>
    <w:link w:val="Titre9"/>
    <w:rsid w:val="00F97290"/>
    <w:rPr>
      <w:rFonts w:ascii="Calibri" w:hAnsi="Calibri" w:cs="Arial"/>
      <w:color w:val="auto"/>
      <w:sz w:val="22"/>
      <w:szCs w:val="22"/>
    </w:rPr>
  </w:style>
  <w:style w:type="paragraph" w:styleId="Retraitcorpsdetexte">
    <w:name w:val="Body Text Indent"/>
    <w:basedOn w:val="Normal"/>
    <w:link w:val="RetraitcorpsdetexteCar"/>
    <w:semiHidden/>
    <w:rsid w:val="00F97290"/>
    <w:pPr>
      <w:numPr>
        <w:numId w:val="3"/>
      </w:numPr>
    </w:pPr>
    <w:rPr>
      <w:rFonts w:ascii="Calibri" w:hAnsi="Calibri"/>
      <w:color w:val="auto"/>
      <w:szCs w:val="24"/>
    </w:rPr>
  </w:style>
  <w:style w:type="character" w:customStyle="1" w:styleId="RetraitcorpsdetexteCar">
    <w:name w:val="Retrait corps de texte Car"/>
    <w:basedOn w:val="Policepardfaut"/>
    <w:link w:val="Retraitcorpsdetexte"/>
    <w:semiHidden/>
    <w:rsid w:val="00F97290"/>
    <w:rPr>
      <w:rFonts w:ascii="Calibri" w:hAnsi="Calibri"/>
      <w:color w:val="auto"/>
      <w:szCs w:val="24"/>
    </w:rPr>
  </w:style>
  <w:style w:type="paragraph" w:customStyle="1" w:styleId="Normal1">
    <w:name w:val="Normal 1"/>
    <w:basedOn w:val="Normal"/>
    <w:rsid w:val="00F97290"/>
    <w:pPr>
      <w:spacing w:before="40" w:after="40"/>
      <w:ind w:left="357"/>
    </w:pPr>
    <w:rPr>
      <w:rFonts w:ascii="Tahoma" w:hAnsi="Tahoma" w:cs="Arial"/>
      <w:color w:val="auto"/>
      <w:szCs w:val="24"/>
    </w:rPr>
  </w:style>
  <w:style w:type="paragraph" w:customStyle="1" w:styleId="Retrait1">
    <w:name w:val="Retrait 1"/>
    <w:basedOn w:val="Normal1"/>
    <w:rsid w:val="00F97290"/>
    <w:pPr>
      <w:numPr>
        <w:numId w:val="6"/>
      </w:numPr>
    </w:pPr>
  </w:style>
  <w:style w:type="paragraph" w:styleId="Corpsdetexte">
    <w:name w:val="Body Text"/>
    <w:basedOn w:val="Normal"/>
    <w:link w:val="CorpsdetexteCar"/>
    <w:semiHidden/>
    <w:rsid w:val="00F97290"/>
    <w:pPr>
      <w:autoSpaceDE w:val="0"/>
      <w:autoSpaceDN w:val="0"/>
      <w:adjustRightInd w:val="0"/>
      <w:ind w:left="357"/>
    </w:pPr>
    <w:rPr>
      <w:rFonts w:ascii="Calibri" w:hAnsi="Calibri" w:cs="Arial"/>
      <w:color w:val="auto"/>
      <w:sz w:val="18"/>
    </w:rPr>
  </w:style>
  <w:style w:type="character" w:customStyle="1" w:styleId="CorpsdetexteCar">
    <w:name w:val="Corps de texte Car"/>
    <w:basedOn w:val="Policepardfaut"/>
    <w:link w:val="Corpsdetexte"/>
    <w:semiHidden/>
    <w:rsid w:val="00F97290"/>
    <w:rPr>
      <w:rFonts w:ascii="Calibri" w:hAnsi="Calibri" w:cs="Arial"/>
      <w:color w:val="auto"/>
      <w:sz w:val="18"/>
    </w:rPr>
  </w:style>
  <w:style w:type="paragraph" w:customStyle="1" w:styleId="Enumration1">
    <w:name w:val="Enumération 1"/>
    <w:basedOn w:val="Normal"/>
    <w:rsid w:val="00F97290"/>
    <w:pPr>
      <w:numPr>
        <w:numId w:val="7"/>
      </w:numPr>
      <w:tabs>
        <w:tab w:val="left" w:pos="720"/>
      </w:tabs>
    </w:pPr>
    <w:rPr>
      <w:rFonts w:ascii="Calibri" w:hAnsi="Calibri"/>
      <w:color w:val="auto"/>
    </w:rPr>
  </w:style>
  <w:style w:type="paragraph" w:customStyle="1" w:styleId="Enumration2">
    <w:name w:val="Enumération 2"/>
    <w:basedOn w:val="Normal"/>
    <w:rsid w:val="00F97290"/>
    <w:pPr>
      <w:numPr>
        <w:numId w:val="8"/>
      </w:numPr>
      <w:tabs>
        <w:tab w:val="left" w:pos="4678"/>
      </w:tabs>
      <w:ind w:left="1276" w:hanging="425"/>
    </w:pPr>
    <w:rPr>
      <w:rFonts w:ascii="Calibri" w:hAnsi="Calibri"/>
      <w:color w:val="auto"/>
    </w:rPr>
  </w:style>
  <w:style w:type="paragraph" w:customStyle="1" w:styleId="TitreContrat">
    <w:name w:val="Titre Contrat"/>
    <w:basedOn w:val="Normal"/>
    <w:next w:val="Normal"/>
    <w:rsid w:val="00F97290"/>
    <w:pPr>
      <w:spacing w:before="1200" w:after="840" w:line="360" w:lineRule="auto"/>
      <w:ind w:left="1928" w:right="1928"/>
      <w:jc w:val="center"/>
      <w:outlineLvl w:val="0"/>
    </w:pPr>
    <w:rPr>
      <w:rFonts w:ascii="Calibri" w:hAnsi="Calibri"/>
      <w:b/>
      <w:caps/>
      <w:color w:val="auto"/>
      <w:sz w:val="32"/>
    </w:rPr>
  </w:style>
  <w:style w:type="paragraph" w:customStyle="1" w:styleId="Barr">
    <w:name w:val="Barré"/>
    <w:basedOn w:val="Normal"/>
    <w:rsid w:val="00F97290"/>
    <w:pPr>
      <w:ind w:left="357"/>
    </w:pPr>
    <w:rPr>
      <w:rFonts w:ascii="Calibri" w:hAnsi="Calibri"/>
      <w:dstrike/>
      <w:color w:val="800080"/>
    </w:rPr>
  </w:style>
  <w:style w:type="paragraph" w:styleId="Corpsdetexte2">
    <w:name w:val="Body Text 2"/>
    <w:basedOn w:val="Normal"/>
    <w:link w:val="Corpsdetexte2Car"/>
    <w:semiHidden/>
    <w:rsid w:val="00F97290"/>
    <w:pPr>
      <w:ind w:left="357"/>
    </w:pPr>
    <w:rPr>
      <w:rFonts w:ascii="Calibri" w:hAnsi="Calibri"/>
      <w:color w:val="FF0000"/>
    </w:rPr>
  </w:style>
  <w:style w:type="character" w:customStyle="1" w:styleId="Corpsdetexte2Car">
    <w:name w:val="Corps de texte 2 Car"/>
    <w:basedOn w:val="Policepardfaut"/>
    <w:link w:val="Corpsdetexte2"/>
    <w:semiHidden/>
    <w:rsid w:val="00F97290"/>
    <w:rPr>
      <w:rFonts w:ascii="Calibri" w:hAnsi="Calibri"/>
      <w:color w:val="FF0000"/>
    </w:rPr>
  </w:style>
  <w:style w:type="paragraph" w:customStyle="1" w:styleId="AjoutDR">
    <w:name w:val="Ajout DR"/>
    <w:basedOn w:val="Normal"/>
    <w:rsid w:val="00F97290"/>
    <w:pPr>
      <w:ind w:left="357"/>
    </w:pPr>
    <w:rPr>
      <w:rFonts w:ascii="Calibri" w:hAnsi="Calibri"/>
      <w:color w:val="0000FF"/>
    </w:rPr>
  </w:style>
  <w:style w:type="paragraph" w:styleId="Retraitcorpsdetexte2">
    <w:name w:val="Body Text Indent 2"/>
    <w:basedOn w:val="Normal"/>
    <w:link w:val="Retraitcorpsdetexte2Car"/>
    <w:semiHidden/>
    <w:rsid w:val="00F97290"/>
    <w:pPr>
      <w:keepNext/>
      <w:ind w:left="2127" w:hanging="567"/>
    </w:pPr>
    <w:rPr>
      <w:rFonts w:ascii="Calibri" w:hAnsi="Calibri"/>
      <w:color w:val="auto"/>
    </w:rPr>
  </w:style>
  <w:style w:type="character" w:customStyle="1" w:styleId="Retraitcorpsdetexte2Car">
    <w:name w:val="Retrait corps de texte 2 Car"/>
    <w:basedOn w:val="Policepardfaut"/>
    <w:link w:val="Retraitcorpsdetexte2"/>
    <w:semiHidden/>
    <w:rsid w:val="00F97290"/>
    <w:rPr>
      <w:rFonts w:ascii="Calibri" w:hAnsi="Calibri"/>
      <w:color w:val="auto"/>
    </w:rPr>
  </w:style>
  <w:style w:type="character" w:styleId="Appelnotedebasdep">
    <w:name w:val="footnote reference"/>
    <w:basedOn w:val="Policepardfaut"/>
    <w:semiHidden/>
    <w:rsid w:val="00F97290"/>
    <w:rPr>
      <w:vertAlign w:val="superscript"/>
    </w:rPr>
  </w:style>
  <w:style w:type="paragraph" w:customStyle="1" w:styleId="Dfinitions">
    <w:name w:val="Définitions"/>
    <w:basedOn w:val="Normal"/>
    <w:rsid w:val="00F97290"/>
    <w:pPr>
      <w:spacing w:before="60" w:after="60"/>
      <w:ind w:left="357"/>
    </w:pPr>
    <w:rPr>
      <w:rFonts w:ascii="Calibri" w:hAnsi="Calibri"/>
      <w:color w:val="auto"/>
    </w:rPr>
  </w:style>
  <w:style w:type="paragraph" w:styleId="Notedebasdepage">
    <w:name w:val="footnote text"/>
    <w:basedOn w:val="Normal"/>
    <w:link w:val="NotedebasdepageCar"/>
    <w:semiHidden/>
    <w:rsid w:val="00F97290"/>
    <w:pPr>
      <w:ind w:left="357"/>
    </w:pPr>
    <w:rPr>
      <w:rFonts w:ascii="Calibri" w:hAnsi="Calibri"/>
      <w:color w:val="auto"/>
      <w:sz w:val="16"/>
    </w:rPr>
  </w:style>
  <w:style w:type="character" w:customStyle="1" w:styleId="NotedebasdepageCar">
    <w:name w:val="Note de bas de page Car"/>
    <w:basedOn w:val="Policepardfaut"/>
    <w:link w:val="Notedebasdepage"/>
    <w:semiHidden/>
    <w:rsid w:val="00F97290"/>
    <w:rPr>
      <w:rFonts w:ascii="Calibri" w:hAnsi="Calibri"/>
      <w:color w:val="auto"/>
      <w:sz w:val="16"/>
    </w:rPr>
  </w:style>
  <w:style w:type="paragraph" w:customStyle="1" w:styleId="Identification">
    <w:name w:val="Identification"/>
    <w:rsid w:val="00F97290"/>
    <w:pPr>
      <w:spacing w:line="300" w:lineRule="atLeast"/>
    </w:pPr>
    <w:rPr>
      <w:rFonts w:ascii="Times New Roman" w:hAnsi="Times New Roman"/>
      <w:color w:val="auto"/>
      <w:sz w:val="24"/>
    </w:rPr>
  </w:style>
  <w:style w:type="paragraph" w:styleId="TM5">
    <w:name w:val="toc 5"/>
    <w:basedOn w:val="Normal"/>
    <w:next w:val="Normal"/>
    <w:autoRedefine/>
    <w:uiPriority w:val="39"/>
    <w:rsid w:val="00F97290"/>
    <w:pPr>
      <w:ind w:left="960"/>
    </w:pPr>
    <w:rPr>
      <w:rFonts w:ascii="Calibri" w:hAnsi="Calibri"/>
      <w:color w:val="auto"/>
      <w:szCs w:val="24"/>
    </w:rPr>
  </w:style>
  <w:style w:type="paragraph" w:styleId="TM6">
    <w:name w:val="toc 6"/>
    <w:basedOn w:val="Normal"/>
    <w:next w:val="Normal"/>
    <w:autoRedefine/>
    <w:uiPriority w:val="39"/>
    <w:rsid w:val="00F97290"/>
    <w:pPr>
      <w:ind w:left="1200"/>
    </w:pPr>
    <w:rPr>
      <w:rFonts w:ascii="Calibri" w:hAnsi="Calibri"/>
      <w:color w:val="auto"/>
      <w:szCs w:val="24"/>
    </w:rPr>
  </w:style>
  <w:style w:type="paragraph" w:styleId="TM7">
    <w:name w:val="toc 7"/>
    <w:basedOn w:val="Normal"/>
    <w:next w:val="Normal"/>
    <w:autoRedefine/>
    <w:uiPriority w:val="39"/>
    <w:rsid w:val="00F97290"/>
    <w:pPr>
      <w:ind w:left="1440"/>
    </w:pPr>
    <w:rPr>
      <w:rFonts w:ascii="Calibri" w:hAnsi="Calibri"/>
      <w:color w:val="auto"/>
      <w:szCs w:val="24"/>
    </w:rPr>
  </w:style>
  <w:style w:type="paragraph" w:styleId="TM8">
    <w:name w:val="toc 8"/>
    <w:basedOn w:val="Normal"/>
    <w:next w:val="Normal"/>
    <w:autoRedefine/>
    <w:uiPriority w:val="39"/>
    <w:rsid w:val="00F97290"/>
    <w:pPr>
      <w:ind w:left="1680"/>
    </w:pPr>
    <w:rPr>
      <w:rFonts w:ascii="Calibri" w:hAnsi="Calibri"/>
      <w:color w:val="auto"/>
      <w:szCs w:val="24"/>
    </w:rPr>
  </w:style>
  <w:style w:type="paragraph" w:styleId="TM9">
    <w:name w:val="toc 9"/>
    <w:basedOn w:val="Normal"/>
    <w:next w:val="Normal"/>
    <w:autoRedefine/>
    <w:uiPriority w:val="39"/>
    <w:rsid w:val="00F97290"/>
    <w:pPr>
      <w:ind w:left="1920"/>
    </w:pPr>
    <w:rPr>
      <w:rFonts w:ascii="Calibri" w:hAnsi="Calibri"/>
      <w:color w:val="auto"/>
      <w:szCs w:val="24"/>
    </w:rPr>
  </w:style>
  <w:style w:type="paragraph" w:styleId="Corpsdetexte3">
    <w:name w:val="Body Text 3"/>
    <w:basedOn w:val="Normal"/>
    <w:link w:val="Corpsdetexte3Car"/>
    <w:semiHidden/>
    <w:rsid w:val="00F97290"/>
    <w:pPr>
      <w:pBdr>
        <w:left w:val="single" w:sz="4" w:space="1" w:color="auto"/>
      </w:pBdr>
      <w:ind w:left="357"/>
    </w:pPr>
    <w:rPr>
      <w:rFonts w:ascii="Tahoma" w:hAnsi="Tahoma" w:cs="Tahoma"/>
      <w:color w:val="auto"/>
      <w:szCs w:val="24"/>
    </w:rPr>
  </w:style>
  <w:style w:type="character" w:customStyle="1" w:styleId="Corpsdetexte3Car">
    <w:name w:val="Corps de texte 3 Car"/>
    <w:basedOn w:val="Policepardfaut"/>
    <w:link w:val="Corpsdetexte3"/>
    <w:semiHidden/>
    <w:rsid w:val="00F97290"/>
    <w:rPr>
      <w:rFonts w:ascii="Tahoma" w:hAnsi="Tahoma" w:cs="Tahoma"/>
      <w:color w:val="auto"/>
      <w:szCs w:val="24"/>
    </w:rPr>
  </w:style>
  <w:style w:type="paragraph" w:styleId="Retraitcorpsdetexte3">
    <w:name w:val="Body Text Indent 3"/>
    <w:basedOn w:val="Normal"/>
    <w:link w:val="Retraitcorpsdetexte3Car"/>
    <w:semiHidden/>
    <w:rsid w:val="00F97290"/>
    <w:pPr>
      <w:ind w:left="360"/>
    </w:pPr>
    <w:rPr>
      <w:rFonts w:ascii="Tahoma" w:hAnsi="Tahoma" w:cs="Tahoma"/>
      <w:color w:val="auto"/>
      <w:szCs w:val="24"/>
    </w:rPr>
  </w:style>
  <w:style w:type="character" w:customStyle="1" w:styleId="Retraitcorpsdetexte3Car">
    <w:name w:val="Retrait corps de texte 3 Car"/>
    <w:basedOn w:val="Policepardfaut"/>
    <w:link w:val="Retraitcorpsdetexte3"/>
    <w:semiHidden/>
    <w:rsid w:val="00F97290"/>
    <w:rPr>
      <w:rFonts w:ascii="Tahoma" w:hAnsi="Tahoma" w:cs="Tahoma"/>
      <w:color w:val="auto"/>
      <w:szCs w:val="24"/>
    </w:rPr>
  </w:style>
  <w:style w:type="paragraph" w:customStyle="1" w:styleId="Corpsdetexte21">
    <w:name w:val="Corps de texte 21"/>
    <w:basedOn w:val="Normal"/>
    <w:rsid w:val="00F97290"/>
    <w:pPr>
      <w:ind w:left="426"/>
    </w:pPr>
    <w:rPr>
      <w:rFonts w:ascii="Tahoma" w:hAnsi="Tahoma"/>
      <w:color w:val="auto"/>
      <w:sz w:val="22"/>
    </w:rPr>
  </w:style>
  <w:style w:type="paragraph" w:customStyle="1" w:styleId="Retraitcorpsdetexte21">
    <w:name w:val="Retrait corps de texte 21"/>
    <w:basedOn w:val="Normal"/>
    <w:rsid w:val="00F97290"/>
    <w:pPr>
      <w:overflowPunct w:val="0"/>
      <w:autoSpaceDE w:val="0"/>
      <w:autoSpaceDN w:val="0"/>
      <w:adjustRightInd w:val="0"/>
      <w:ind w:left="540"/>
      <w:textAlignment w:val="baseline"/>
    </w:pPr>
    <w:rPr>
      <w:rFonts w:ascii="Tahoma" w:hAnsi="Tahoma"/>
      <w:color w:val="auto"/>
      <w:sz w:val="22"/>
    </w:rPr>
  </w:style>
  <w:style w:type="paragraph" w:customStyle="1" w:styleId="Retraitcorpsdetexte31">
    <w:name w:val="Retrait corps de texte 31"/>
    <w:basedOn w:val="Normal"/>
    <w:rsid w:val="00F97290"/>
    <w:pPr>
      <w:overflowPunct w:val="0"/>
      <w:autoSpaceDE w:val="0"/>
      <w:autoSpaceDN w:val="0"/>
      <w:adjustRightInd w:val="0"/>
      <w:ind w:left="426"/>
      <w:textAlignment w:val="baseline"/>
    </w:pPr>
    <w:rPr>
      <w:rFonts w:ascii="Tahoma" w:hAnsi="Tahoma"/>
      <w:color w:val="auto"/>
      <w:sz w:val="22"/>
    </w:rPr>
  </w:style>
  <w:style w:type="paragraph" w:styleId="Explorateurdedocuments">
    <w:name w:val="Document Map"/>
    <w:basedOn w:val="Normal"/>
    <w:link w:val="ExplorateurdedocumentsCar"/>
    <w:semiHidden/>
    <w:rsid w:val="00F97290"/>
    <w:pPr>
      <w:shd w:val="clear" w:color="auto" w:fill="000080"/>
      <w:ind w:left="357"/>
    </w:pPr>
    <w:rPr>
      <w:rFonts w:ascii="Tahoma" w:hAnsi="Tahoma"/>
      <w:color w:val="auto"/>
      <w:sz w:val="22"/>
    </w:rPr>
  </w:style>
  <w:style w:type="character" w:customStyle="1" w:styleId="ExplorateurdedocumentsCar">
    <w:name w:val="Explorateur de documents Car"/>
    <w:basedOn w:val="Policepardfaut"/>
    <w:link w:val="Explorateurdedocuments"/>
    <w:semiHidden/>
    <w:rsid w:val="00F97290"/>
    <w:rPr>
      <w:rFonts w:ascii="Tahoma" w:hAnsi="Tahoma"/>
      <w:color w:val="auto"/>
      <w:sz w:val="22"/>
      <w:shd w:val="clear" w:color="auto" w:fill="000080"/>
    </w:rPr>
  </w:style>
  <w:style w:type="paragraph" w:customStyle="1" w:styleId="Corpsdetexte31">
    <w:name w:val="Corps de texte 31"/>
    <w:basedOn w:val="Normal"/>
    <w:rsid w:val="00F97290"/>
    <w:pPr>
      <w:ind w:left="357"/>
    </w:pPr>
    <w:rPr>
      <w:rFonts w:ascii="Calibri" w:hAnsi="Calibri"/>
      <w:color w:val="000000"/>
    </w:rPr>
  </w:style>
  <w:style w:type="paragraph" w:customStyle="1" w:styleId="Normalcentr1">
    <w:name w:val="Normal centré1"/>
    <w:basedOn w:val="Normal"/>
    <w:rsid w:val="00F97290"/>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rPr>
  </w:style>
  <w:style w:type="paragraph" w:customStyle="1" w:styleId="ListeCommune">
    <w:name w:val="Liste Commune"/>
    <w:basedOn w:val="Normal"/>
    <w:rsid w:val="00F97290"/>
    <w:pPr>
      <w:tabs>
        <w:tab w:val="left" w:pos="4678"/>
      </w:tabs>
      <w:ind w:left="357"/>
    </w:pPr>
    <w:rPr>
      <w:rFonts w:ascii="Calibri" w:hAnsi="Calibri"/>
      <w:color w:val="auto"/>
      <w:sz w:val="18"/>
    </w:rPr>
  </w:style>
  <w:style w:type="paragraph" w:customStyle="1" w:styleId="Normalencadr">
    <w:name w:val="Normal encadré"/>
    <w:basedOn w:val="Normal"/>
    <w:rsid w:val="00F97290"/>
    <w:pPr>
      <w:pBdr>
        <w:top w:val="single" w:sz="4" w:space="1" w:color="auto"/>
        <w:left w:val="single" w:sz="4" w:space="4" w:color="auto"/>
        <w:bottom w:val="single" w:sz="4" w:space="1" w:color="auto"/>
        <w:right w:val="single" w:sz="4" w:space="4" w:color="auto"/>
      </w:pBdr>
      <w:ind w:left="357"/>
    </w:pPr>
    <w:rPr>
      <w:rFonts w:ascii="Calibri" w:hAnsi="Calibri"/>
      <w:color w:val="auto"/>
      <w:sz w:val="18"/>
    </w:rPr>
  </w:style>
  <w:style w:type="paragraph" w:customStyle="1" w:styleId="Titre4annexe">
    <w:name w:val="Titre 4 annexe"/>
    <w:basedOn w:val="Titre4"/>
    <w:rsid w:val="00F97290"/>
    <w:pPr>
      <w:numPr>
        <w:ilvl w:val="0"/>
        <w:numId w:val="0"/>
      </w:numPr>
      <w:spacing w:after="0"/>
    </w:pPr>
    <w:rPr>
      <w:rFonts w:ascii="Arial" w:hAnsi="Arial" w:cs="Times New Roman"/>
      <w:snapToGrid w:val="0"/>
    </w:rPr>
  </w:style>
  <w:style w:type="paragraph" w:customStyle="1" w:styleId="Ss-titre">
    <w:name w:val="Ss-titre"/>
    <w:basedOn w:val="Normal"/>
    <w:next w:val="Normal"/>
    <w:rsid w:val="00F97290"/>
    <w:pPr>
      <w:numPr>
        <w:numId w:val="10"/>
      </w:numPr>
      <w:spacing w:after="60"/>
      <w:ind w:left="357" w:hanging="357"/>
    </w:pPr>
    <w:rPr>
      <w:rFonts w:ascii="Calibri" w:hAnsi="Calibri" w:cs="Arial"/>
      <w:b/>
      <w:bCs/>
      <w:iCs/>
      <w:color w:val="auto"/>
    </w:rPr>
  </w:style>
  <w:style w:type="character" w:styleId="Marquedecommentaire">
    <w:name w:val="annotation reference"/>
    <w:basedOn w:val="Policepardfaut"/>
    <w:semiHidden/>
    <w:rsid w:val="00F97290"/>
    <w:rPr>
      <w:sz w:val="16"/>
      <w:szCs w:val="16"/>
    </w:rPr>
  </w:style>
  <w:style w:type="paragraph" w:styleId="Commentaire">
    <w:name w:val="annotation text"/>
    <w:basedOn w:val="Normal"/>
    <w:link w:val="CommentaireCar"/>
    <w:uiPriority w:val="99"/>
    <w:semiHidden/>
    <w:rsid w:val="00F97290"/>
    <w:pPr>
      <w:ind w:left="357"/>
    </w:pPr>
    <w:rPr>
      <w:rFonts w:ascii="Calibri" w:hAnsi="Calibri"/>
      <w:color w:val="auto"/>
    </w:rPr>
  </w:style>
  <w:style w:type="character" w:customStyle="1" w:styleId="CommentaireCar">
    <w:name w:val="Commentaire Car"/>
    <w:basedOn w:val="Policepardfaut"/>
    <w:link w:val="Commentaire"/>
    <w:uiPriority w:val="99"/>
    <w:semiHidden/>
    <w:rsid w:val="00F97290"/>
    <w:rPr>
      <w:rFonts w:ascii="Calibri" w:hAnsi="Calibri"/>
      <w:color w:val="auto"/>
    </w:rPr>
  </w:style>
  <w:style w:type="paragraph" w:styleId="Titre">
    <w:name w:val="Title"/>
    <w:basedOn w:val="Normal"/>
    <w:link w:val="TitreCar"/>
    <w:qFormat/>
    <w:rsid w:val="00F97290"/>
    <w:pPr>
      <w:ind w:left="284"/>
      <w:jc w:val="center"/>
    </w:pPr>
    <w:rPr>
      <w:rFonts w:ascii="Times New Roman" w:hAnsi="Times New Roman"/>
      <w:b/>
      <w:color w:val="auto"/>
      <w:sz w:val="26"/>
    </w:rPr>
  </w:style>
  <w:style w:type="character" w:customStyle="1" w:styleId="TitreCar">
    <w:name w:val="Titre Car"/>
    <w:basedOn w:val="Policepardfaut"/>
    <w:link w:val="Titre"/>
    <w:rsid w:val="00F97290"/>
    <w:rPr>
      <w:rFonts w:ascii="Times New Roman" w:hAnsi="Times New Roman"/>
      <w:b/>
      <w:color w:val="auto"/>
      <w:sz w:val="26"/>
    </w:rPr>
  </w:style>
  <w:style w:type="paragraph" w:customStyle="1" w:styleId="Paradansdfinitions">
    <w:name w:val="Para dans définitions"/>
    <w:basedOn w:val="Normal"/>
    <w:rsid w:val="00F97290"/>
    <w:pPr>
      <w:ind w:left="357"/>
    </w:pPr>
    <w:rPr>
      <w:rFonts w:ascii="Times New Roman" w:hAnsi="Times New Roman"/>
      <w:color w:val="auto"/>
      <w:sz w:val="18"/>
    </w:rPr>
  </w:style>
  <w:style w:type="paragraph" w:styleId="Objetducommentaire">
    <w:name w:val="annotation subject"/>
    <w:basedOn w:val="Commentaire"/>
    <w:next w:val="Commentaire"/>
    <w:link w:val="ObjetducommentaireCar"/>
    <w:uiPriority w:val="99"/>
    <w:semiHidden/>
    <w:unhideWhenUsed/>
    <w:rsid w:val="00F97290"/>
    <w:rPr>
      <w:b/>
      <w:bCs/>
    </w:rPr>
  </w:style>
  <w:style w:type="character" w:customStyle="1" w:styleId="ObjetducommentaireCar">
    <w:name w:val="Objet du commentaire Car"/>
    <w:basedOn w:val="CommentaireCar"/>
    <w:link w:val="Objetducommentaire"/>
    <w:uiPriority w:val="99"/>
    <w:semiHidden/>
    <w:rsid w:val="00F97290"/>
    <w:rPr>
      <w:rFonts w:ascii="Calibri" w:hAnsi="Calibri"/>
      <w:b/>
      <w:bCs/>
      <w:color w:val="auto"/>
    </w:rPr>
  </w:style>
  <w:style w:type="character" w:styleId="lev">
    <w:name w:val="Strong"/>
    <w:basedOn w:val="Policepardfaut"/>
    <w:uiPriority w:val="22"/>
    <w:qFormat/>
    <w:rsid w:val="00F97290"/>
    <w:rPr>
      <w:b/>
      <w:bCs/>
    </w:rPr>
  </w:style>
  <w:style w:type="character" w:customStyle="1" w:styleId="Normal10">
    <w:name w:val="Normal1"/>
    <w:basedOn w:val="Policepardfaut"/>
    <w:rsid w:val="00F97290"/>
  </w:style>
  <w:style w:type="paragraph" w:customStyle="1" w:styleId="Default">
    <w:name w:val="Default"/>
    <w:rsid w:val="00F97290"/>
    <w:pPr>
      <w:autoSpaceDE w:val="0"/>
      <w:autoSpaceDN w:val="0"/>
      <w:adjustRightInd w:val="0"/>
    </w:pPr>
    <w:rPr>
      <w:rFonts w:cs="Arial"/>
      <w:color w:val="000000"/>
      <w:sz w:val="24"/>
      <w:szCs w:val="24"/>
    </w:rPr>
  </w:style>
  <w:style w:type="paragraph" w:styleId="Normalcentr">
    <w:name w:val="Block Text"/>
    <w:basedOn w:val="Normal"/>
    <w:semiHidden/>
    <w:rsid w:val="00F97290"/>
    <w:pPr>
      <w:spacing w:before="60" w:after="60"/>
      <w:ind w:left="-70" w:right="-70"/>
      <w:jc w:val="center"/>
    </w:pPr>
    <w:rPr>
      <w:rFonts w:ascii="Calibri" w:hAnsi="Calibri" w:cs="Arial"/>
      <w:color w:val="auto"/>
      <w:sz w:val="18"/>
      <w:szCs w:val="24"/>
    </w:rPr>
  </w:style>
  <w:style w:type="paragraph" w:customStyle="1" w:styleId="05erdffr">
    <w:name w:val="05_erdf.fr"/>
    <w:basedOn w:val="Pieddepage"/>
    <w:link w:val="05erdffrCar"/>
    <w:qFormat/>
    <w:rsid w:val="00F97290"/>
    <w:pPr>
      <w:tabs>
        <w:tab w:val="center" w:pos="4536"/>
        <w:tab w:val="right" w:pos="9072"/>
      </w:tabs>
      <w:spacing w:after="160"/>
      <w:ind w:left="-108"/>
      <w:jc w:val="left"/>
    </w:pPr>
    <w:rPr>
      <w:rFonts w:ascii="Calibri" w:eastAsiaTheme="minorEastAsia" w:hAnsi="Calibri" w:cstheme="minorBidi"/>
      <w:b/>
      <w:color w:val="114A9C"/>
      <w:sz w:val="20"/>
      <w:szCs w:val="24"/>
    </w:rPr>
  </w:style>
  <w:style w:type="character" w:customStyle="1" w:styleId="05erdffrCar">
    <w:name w:val="05_erdf.fr Car"/>
    <w:basedOn w:val="PieddepageCar"/>
    <w:link w:val="05erdffr"/>
    <w:rsid w:val="00F97290"/>
    <w:rPr>
      <w:rFonts w:ascii="Calibri" w:eastAsiaTheme="minorEastAsia" w:hAnsi="Calibri" w:cstheme="minorBidi"/>
      <w:b/>
      <w:color w:val="114A9C"/>
      <w:sz w:val="14"/>
      <w:szCs w:val="24"/>
    </w:rPr>
  </w:style>
  <w:style w:type="paragraph" w:customStyle="1" w:styleId="06Pieddepage">
    <w:name w:val="06_Pied de page"/>
    <w:basedOn w:val="Normal"/>
    <w:qFormat/>
    <w:rsid w:val="00F97290"/>
    <w:pPr>
      <w:widowControl w:val="0"/>
      <w:autoSpaceDE w:val="0"/>
      <w:autoSpaceDN w:val="0"/>
      <w:adjustRightInd w:val="0"/>
      <w:ind w:left="232"/>
      <w:jc w:val="left"/>
      <w:textAlignment w:val="center"/>
    </w:pPr>
    <w:rPr>
      <w:rFonts w:ascii="Calibri" w:eastAsiaTheme="minorEastAsia" w:hAnsi="Calibri" w:cs="Neris-Light"/>
      <w:color w:val="505150"/>
      <w:sz w:val="14"/>
      <w:szCs w:val="14"/>
    </w:rPr>
  </w:style>
  <w:style w:type="paragraph" w:customStyle="1" w:styleId="Sommaire">
    <w:name w:val="Sommaire"/>
    <w:basedOn w:val="En-tte"/>
    <w:link w:val="SommaireCar"/>
    <w:qFormat/>
    <w:rsid w:val="00F97290"/>
    <w:pPr>
      <w:tabs>
        <w:tab w:val="center" w:pos="4536"/>
        <w:tab w:val="right" w:pos="9072"/>
      </w:tabs>
      <w:jc w:val="left"/>
    </w:pPr>
    <w:rPr>
      <w:rFonts w:ascii="Calibri" w:eastAsia="MS Mincho" w:hAnsi="Calibri"/>
      <w:caps/>
      <w:noProof/>
      <w:color w:val="004D8F"/>
      <w:sz w:val="40"/>
      <w:szCs w:val="40"/>
    </w:rPr>
  </w:style>
  <w:style w:type="character" w:customStyle="1" w:styleId="SommaireCar">
    <w:name w:val="Sommaire Car"/>
    <w:basedOn w:val="En-tteCar"/>
    <w:link w:val="Sommaire"/>
    <w:rsid w:val="00F97290"/>
    <w:rPr>
      <w:rFonts w:ascii="Calibri" w:eastAsia="MS Mincho" w:hAnsi="Calibri"/>
      <w:caps/>
      <w:noProof/>
      <w:color w:val="004D8F"/>
      <w:sz w:val="40"/>
      <w:szCs w:val="40"/>
    </w:rPr>
  </w:style>
  <w:style w:type="paragraph" w:customStyle="1" w:styleId="01NomDirection">
    <w:name w:val="01_Nom Direction"/>
    <w:basedOn w:val="En-tte"/>
    <w:link w:val="01NomDirectionCar"/>
    <w:qFormat/>
    <w:rsid w:val="00F97290"/>
    <w:pPr>
      <w:tabs>
        <w:tab w:val="center" w:pos="4536"/>
        <w:tab w:val="right" w:pos="9072"/>
      </w:tabs>
      <w:ind w:left="-567"/>
      <w:jc w:val="right"/>
    </w:pPr>
    <w:rPr>
      <w:rFonts w:ascii="Calibri" w:eastAsia="MS Mincho" w:hAnsi="Calibri"/>
      <w:i/>
      <w:color w:val="505150"/>
      <w:sz w:val="20"/>
      <w:szCs w:val="24"/>
    </w:rPr>
  </w:style>
  <w:style w:type="character" w:customStyle="1" w:styleId="01NomDirectionCar">
    <w:name w:val="01_Nom Direction Car"/>
    <w:basedOn w:val="En-tteCar"/>
    <w:link w:val="01NomDirection"/>
    <w:rsid w:val="00F97290"/>
    <w:rPr>
      <w:rFonts w:ascii="Calibri" w:eastAsia="MS Mincho" w:hAnsi="Calibri"/>
      <w:i/>
      <w:color w:val="505150"/>
      <w:sz w:val="14"/>
      <w:szCs w:val="24"/>
    </w:rPr>
  </w:style>
  <w:style w:type="paragraph" w:customStyle="1" w:styleId="06Annexes">
    <w:name w:val="06_Annexes"/>
    <w:basedOn w:val="Normal"/>
    <w:qFormat/>
    <w:rsid w:val="00F97290"/>
    <w:pPr>
      <w:numPr>
        <w:numId w:val="11"/>
      </w:numPr>
    </w:pPr>
    <w:rPr>
      <w:rFonts w:ascii="Calibri" w:eastAsia="MS Mincho" w:hAnsi="Calibri"/>
      <w:color w:val="505150"/>
    </w:rPr>
  </w:style>
  <w:style w:type="paragraph" w:customStyle="1" w:styleId="07erdffr">
    <w:name w:val="07_erdf.fr"/>
    <w:basedOn w:val="Pieddepage"/>
    <w:link w:val="07erdffrCar"/>
    <w:qFormat/>
    <w:rsid w:val="00F97290"/>
    <w:pPr>
      <w:tabs>
        <w:tab w:val="center" w:pos="4536"/>
        <w:tab w:val="right" w:pos="9072"/>
      </w:tabs>
      <w:ind w:left="-108"/>
      <w:jc w:val="left"/>
    </w:pPr>
    <w:rPr>
      <w:rFonts w:ascii="Calibri" w:eastAsia="MS Mincho" w:hAnsi="Calibri"/>
      <w:b/>
      <w:color w:val="005294"/>
      <w:sz w:val="20"/>
      <w:szCs w:val="24"/>
    </w:rPr>
  </w:style>
  <w:style w:type="character" w:customStyle="1" w:styleId="07erdffrCar">
    <w:name w:val="07_erdf.fr Car"/>
    <w:basedOn w:val="PieddepageCar"/>
    <w:link w:val="07erdffr"/>
    <w:rsid w:val="00F97290"/>
    <w:rPr>
      <w:rFonts w:ascii="Calibri" w:eastAsia="MS Mincho" w:hAnsi="Calibri"/>
      <w:b/>
      <w:color w:val="005294"/>
      <w:sz w:val="14"/>
      <w:szCs w:val="24"/>
    </w:rPr>
  </w:style>
  <w:style w:type="paragraph" w:customStyle="1" w:styleId="08Pieddepage">
    <w:name w:val="08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9Pieddepage">
    <w:name w:val="09_Pied de page"/>
    <w:basedOn w:val="Normal"/>
    <w:qFormat/>
    <w:rsid w:val="00F97290"/>
    <w:pPr>
      <w:widowControl w:val="0"/>
      <w:autoSpaceDE w:val="0"/>
      <w:autoSpaceDN w:val="0"/>
      <w:adjustRightInd w:val="0"/>
      <w:ind w:left="232"/>
      <w:jc w:val="left"/>
      <w:textAlignment w:val="center"/>
    </w:pPr>
    <w:rPr>
      <w:rFonts w:ascii="Calibri" w:eastAsia="MS Mincho" w:hAnsi="Calibri" w:cs="Neris-Light"/>
      <w:color w:val="505150"/>
      <w:sz w:val="14"/>
      <w:szCs w:val="14"/>
    </w:rPr>
  </w:style>
  <w:style w:type="paragraph" w:customStyle="1" w:styleId="02BTitrepagessuivantes">
    <w:name w:val="02B_Titre pages suivantes"/>
    <w:basedOn w:val="Normal"/>
    <w:uiPriority w:val="1"/>
    <w:qFormat/>
    <w:rsid w:val="00F97290"/>
    <w:pPr>
      <w:spacing w:before="240" w:after="600"/>
      <w:ind w:left="3969"/>
      <w:jc w:val="right"/>
    </w:pPr>
    <w:rPr>
      <w:rFonts w:ascii="Calibri" w:eastAsia="MS Mincho" w:hAnsi="Calibri"/>
      <w:noProof/>
      <w:color w:val="505150"/>
      <w:sz w:val="24"/>
      <w:szCs w:val="28"/>
    </w:rPr>
  </w:style>
  <w:style w:type="paragraph" w:styleId="Rvision">
    <w:name w:val="Revision"/>
    <w:hidden/>
    <w:uiPriority w:val="99"/>
    <w:semiHidden/>
    <w:rsid w:val="00F97290"/>
    <w:rPr>
      <w:rFonts w:ascii="Calibri" w:hAnsi="Calibri"/>
      <w:color w:val="auto"/>
      <w:szCs w:val="24"/>
    </w:rPr>
  </w:style>
  <w:style w:type="character" w:styleId="Appeldenotedefin">
    <w:name w:val="endnote reference"/>
    <w:basedOn w:val="Policepardfaut"/>
    <w:uiPriority w:val="99"/>
    <w:semiHidden/>
    <w:rsid w:val="005D44B6"/>
    <w:rPr>
      <w:vertAlign w:val="superscript"/>
    </w:rPr>
  </w:style>
  <w:style w:type="character" w:styleId="Mentionnonrsolue">
    <w:name w:val="Unresolved Mention"/>
    <w:basedOn w:val="Policepardfaut"/>
    <w:uiPriority w:val="99"/>
    <w:semiHidden/>
    <w:unhideWhenUsed/>
    <w:rsid w:val="00723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tignelec.com" TargetMode="External"/><Relationship Id="rId26" Type="http://schemas.openxmlformats.org/officeDocument/2006/relationships/oleObject" Target="embeddings/oleObject3.bin"/><Relationship Id="rId39" Type="http://schemas.openxmlformats.org/officeDocument/2006/relationships/fontTable" Target="fontTable.xml"/><Relationship Id="rId21" Type="http://schemas.openxmlformats.org/officeDocument/2006/relationships/hyperlink" Target="https://tignelec.com" TargetMode="External"/><Relationship Id="rId34" Type="http://schemas.openxmlformats.org/officeDocument/2006/relationships/hyperlink" Target="mailto:accueil@tig.regielec.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accueil@tig.regielec.fr" TargetMode="External"/><Relationship Id="rId25" Type="http://schemas.openxmlformats.org/officeDocument/2006/relationships/image" Target="media/image3.wmf"/><Relationship Id="rId33" Type="http://schemas.openxmlformats.org/officeDocument/2006/relationships/hyperlink" Target="mailto:accueil@tig.regielec.fr"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tignelec.com" TargetMode="External"/><Relationship Id="rId20" Type="http://schemas.openxmlformats.org/officeDocument/2006/relationships/hyperlink" Target="https://tignelec.com" TargetMode="External"/><Relationship Id="rId29" Type="http://schemas.openxmlformats.org/officeDocument/2006/relationships/hyperlink" Target="http://clients.rte-franc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2.bin"/><Relationship Id="rId32" Type="http://schemas.openxmlformats.org/officeDocument/2006/relationships/image" Target="media/image6.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2.wmf"/><Relationship Id="rId28" Type="http://schemas.openxmlformats.org/officeDocument/2006/relationships/oleObject" Target="embeddings/oleObject4.bin"/><Relationship Id="rId36" Type="http://schemas.openxmlformats.org/officeDocument/2006/relationships/hyperlink" Target="https://tignelec.com" TargetMode="External"/><Relationship Id="rId10" Type="http://schemas.openxmlformats.org/officeDocument/2006/relationships/endnotes" Target="endnotes.xml"/><Relationship Id="rId19" Type="http://schemas.openxmlformats.org/officeDocument/2006/relationships/hyperlink" Target="mailto:accueil@tig.regielec.fr" TargetMode="Externa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accueil@tig.regielec.fr" TargetMode="External"/><Relationship Id="rId27" Type="http://schemas.openxmlformats.org/officeDocument/2006/relationships/image" Target="media/image4.wmf"/><Relationship Id="rId30" Type="http://schemas.openxmlformats.org/officeDocument/2006/relationships/image" Target="media/image5.wmf"/><Relationship Id="rId35" Type="http://schemas.openxmlformats.org/officeDocument/2006/relationships/hyperlink" Target="mailto:accueil@tig.regielec.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er4.xml.rels><?xml version="1.0" encoding="UTF-8" standalone="yes"?>
<Relationships xmlns="http://schemas.openxmlformats.org/package/2006/relationships"><Relationship Id="rId1" Type="http://schemas.openxmlformats.org/officeDocument/2006/relationships/image" Target="media/image8.png"/></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F1927EF95ABB41A49DE6F9C889B036" ma:contentTypeVersion="12" ma:contentTypeDescription="Crée un document." ma:contentTypeScope="" ma:versionID="4e0335b87735cf19d8014c4b229007b2">
  <xsd:schema xmlns:xsd="http://www.w3.org/2001/XMLSchema" xmlns:xs="http://www.w3.org/2001/XMLSchema" xmlns:p="http://schemas.microsoft.com/office/2006/metadata/properties" xmlns:ns2="c4b4ee64-a132-41c7-8ec1-37908f65e712" xmlns:ns3="52d482c7-ba49-49db-92b2-f183d411cc53" targetNamespace="http://schemas.microsoft.com/office/2006/metadata/properties" ma:root="true" ma:fieldsID="0d4d1cb86cf4cb2ffd960c9644ca2e0b" ns2:_="" ns3:_="">
    <xsd:import namespace="c4b4ee64-a132-41c7-8ec1-37908f65e712"/>
    <xsd:import namespace="52d482c7-ba49-49db-92b2-f183d411cc5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4ee64-a132-41c7-8ec1-37908f65e71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d482c7-ba49-49db-92b2-f183d411cc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FE82F-9DF2-4A4E-8EFF-8521122564E1}">
  <ds:schemaRefs>
    <ds:schemaRef ds:uri="http://schemas.microsoft.com/office/2006/metadata/properties"/>
    <ds:schemaRef ds:uri="http://purl.org/dc/dcmitype/"/>
    <ds:schemaRef ds:uri="c4b4ee64-a132-41c7-8ec1-37908f65e712"/>
    <ds:schemaRef ds:uri="http://schemas.microsoft.com/office/2006/documentManagement/types"/>
    <ds:schemaRef ds:uri="http://purl.org/dc/terms/"/>
    <ds:schemaRef ds:uri="http://schemas.openxmlformats.org/package/2006/metadata/core-properties"/>
    <ds:schemaRef ds:uri="52d482c7-ba49-49db-92b2-f183d411cc53"/>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7B11742-7621-4618-8641-BF9F9D5B3190}">
  <ds:schemaRefs>
    <ds:schemaRef ds:uri="http://schemas.microsoft.com/sharepoint/v3/contenttype/forms"/>
  </ds:schemaRefs>
</ds:datastoreItem>
</file>

<file path=customXml/itemProps3.xml><?xml version="1.0" encoding="utf-8"?>
<ds:datastoreItem xmlns:ds="http://schemas.openxmlformats.org/officeDocument/2006/customXml" ds:itemID="{7693644D-7B3A-4B31-AFB8-D587B2187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4ee64-a132-41c7-8ec1-37908f65e712"/>
    <ds:schemaRef ds:uri="52d482c7-ba49-49db-92b2-f183d411cc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CFB250-01F6-4878-ACD1-1347C7F70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26175</Words>
  <Characters>151952</Characters>
  <Application>Microsoft Office Word</Application>
  <DocSecurity>0</DocSecurity>
  <Lines>1266</Lines>
  <Paragraphs>355</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177772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2021-03-12T09:27:00Z</dcterms:created>
  <dcterms:modified xsi:type="dcterms:W3CDTF">2021-05-10T07:46:00Z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0x010100F8F1927EF95ABB41A49DE6F9C889B036</vt:lpwstr>
  </property>
</Properties>
</file>