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6B9D2" w14:textId="42DB777E" w:rsidR="00260275" w:rsidRPr="006750B3" w:rsidRDefault="00260275" w:rsidP="00260275">
      <w:pPr>
        <w:pStyle w:val="Titre"/>
        <w:rPr>
          <w:b/>
          <w:bCs/>
        </w:rPr>
      </w:pPr>
      <w:r w:rsidRPr="006750B3">
        <w:rPr>
          <w:b/>
          <w:bCs/>
        </w:rPr>
        <w:t>Attestation du fournisseur</w:t>
      </w:r>
      <w:r w:rsidRPr="006750B3" w:rsidDel="00182029">
        <w:rPr>
          <w:b/>
          <w:bCs/>
        </w:rPr>
        <w:t xml:space="preserve"> </w:t>
      </w:r>
      <w:r w:rsidRPr="006750B3">
        <w:rPr>
          <w:b/>
          <w:bCs/>
          <w:highlight w:val="yellow"/>
        </w:rPr>
        <w:t>[nom du fournisseur]</w:t>
      </w:r>
      <w:r w:rsidRPr="006750B3">
        <w:rPr>
          <w:b/>
          <w:bCs/>
        </w:rPr>
        <w:t xml:space="preserve"> concernant sa déclaration de pertes de recettes au titre du bouclier tarifaire </w:t>
      </w:r>
      <w:r>
        <w:rPr>
          <w:b/>
          <w:bCs/>
        </w:rPr>
        <w:t>gaz</w:t>
      </w:r>
      <w:r w:rsidRPr="006750B3">
        <w:rPr>
          <w:b/>
          <w:bCs/>
        </w:rPr>
        <w:t xml:space="preserve"> sur la période du 1</w:t>
      </w:r>
      <w:r w:rsidRPr="006750B3">
        <w:rPr>
          <w:b/>
          <w:bCs/>
          <w:vertAlign w:val="superscript"/>
        </w:rPr>
        <w:t>er</w:t>
      </w:r>
      <w:r w:rsidRPr="006750B3">
        <w:rPr>
          <w:b/>
          <w:bCs/>
        </w:rPr>
        <w:t xml:space="preserve"> </w:t>
      </w:r>
      <w:r w:rsidR="009437D7">
        <w:rPr>
          <w:b/>
          <w:bCs/>
        </w:rPr>
        <w:t>novembre</w:t>
      </w:r>
      <w:r w:rsidRPr="006750B3">
        <w:rPr>
          <w:b/>
          <w:bCs/>
        </w:rPr>
        <w:t xml:space="preserve"> 202</w:t>
      </w:r>
      <w:r w:rsidR="009437D7">
        <w:rPr>
          <w:b/>
          <w:bCs/>
        </w:rPr>
        <w:t>1</w:t>
      </w:r>
      <w:r w:rsidRPr="006750B3">
        <w:rPr>
          <w:b/>
          <w:bCs/>
        </w:rPr>
        <w:t xml:space="preserve"> au 3</w:t>
      </w:r>
      <w:r w:rsidR="009437D7">
        <w:rPr>
          <w:b/>
          <w:bCs/>
        </w:rPr>
        <w:t>1</w:t>
      </w:r>
      <w:r>
        <w:rPr>
          <w:b/>
          <w:bCs/>
        </w:rPr>
        <w:t xml:space="preserve"> </w:t>
      </w:r>
      <w:r w:rsidR="009437D7">
        <w:rPr>
          <w:b/>
          <w:bCs/>
        </w:rPr>
        <w:t>décembre</w:t>
      </w:r>
      <w:r w:rsidRPr="006750B3">
        <w:rPr>
          <w:b/>
          <w:bCs/>
        </w:rPr>
        <w:t xml:space="preserve"> 202</w:t>
      </w:r>
      <w:r w:rsidR="009437D7">
        <w:rPr>
          <w:b/>
          <w:bCs/>
        </w:rPr>
        <w:t>2</w:t>
      </w:r>
      <w:r w:rsidRPr="006750B3">
        <w:rPr>
          <w:b/>
          <w:bCs/>
        </w:rPr>
        <w:t>.</w:t>
      </w:r>
    </w:p>
    <w:p w14:paraId="13C36B2F" w14:textId="77777777" w:rsidR="00260275" w:rsidRDefault="00260275" w:rsidP="00260275">
      <w:pPr>
        <w:pStyle w:val="corpsdetexte"/>
        <w:rPr>
          <w:rFonts w:cstheme="minorHAnsi"/>
          <w:color w:val="000000"/>
        </w:rPr>
      </w:pPr>
    </w:p>
    <w:p w14:paraId="4AF39EE6" w14:textId="47495473" w:rsidR="00260275" w:rsidRPr="005326E2" w:rsidRDefault="00590780" w:rsidP="00260275">
      <w:pPr>
        <w:pStyle w:val="corpsdetexte"/>
        <w:rPr>
          <w:rFonts w:cstheme="minorHAnsi"/>
          <w:color w:val="000000"/>
        </w:rPr>
      </w:pPr>
      <w:r>
        <w:rPr>
          <w:rFonts w:cstheme="minorHAnsi"/>
          <w:color w:val="000000"/>
        </w:rPr>
        <w:t>En application du décret n°2021-1380 du 23 octobre 2021</w:t>
      </w:r>
      <w:r w:rsidR="00CF2F0F">
        <w:rPr>
          <w:rFonts w:cstheme="minorHAnsi"/>
          <w:color w:val="000000"/>
        </w:rPr>
        <w:t>, les tarifs règlement</w:t>
      </w:r>
      <w:r w:rsidR="003876E1">
        <w:rPr>
          <w:rFonts w:cstheme="minorHAnsi"/>
          <w:color w:val="000000"/>
        </w:rPr>
        <w:t>é</w:t>
      </w:r>
      <w:r w:rsidR="00CF2F0F">
        <w:rPr>
          <w:rFonts w:cstheme="minorHAnsi"/>
          <w:color w:val="000000"/>
        </w:rPr>
        <w:t xml:space="preserve">s de vente de gaz naturel (TRVG) ont été gelés, toutes taxes comprises, à leur niveau en vigueur au 31 octobre 2021. </w:t>
      </w:r>
      <w:r w:rsidR="00260275" w:rsidRPr="00D75A80">
        <w:rPr>
          <w:rFonts w:cstheme="minorHAnsi"/>
          <w:color w:val="000000"/>
        </w:rPr>
        <w:t>L’article 181 de la loi de finances pour 202</w:t>
      </w:r>
      <w:r w:rsidR="00DD2D72">
        <w:rPr>
          <w:rFonts w:cstheme="minorHAnsi"/>
          <w:color w:val="000000"/>
        </w:rPr>
        <w:t>2</w:t>
      </w:r>
      <w:r w:rsidR="003B76AE">
        <w:rPr>
          <w:rFonts w:cstheme="minorHAnsi"/>
          <w:color w:val="000000"/>
        </w:rPr>
        <w:t xml:space="preserve"> a étendu ce gel aux TRVG proposés par les entreprises locales de distribution (ELD) à compter du 1</w:t>
      </w:r>
      <w:r w:rsidR="003B76AE" w:rsidRPr="003B76AE">
        <w:rPr>
          <w:rFonts w:cstheme="minorHAnsi"/>
          <w:color w:val="000000"/>
          <w:vertAlign w:val="superscript"/>
        </w:rPr>
        <w:t>er</w:t>
      </w:r>
      <w:r w:rsidR="003B76AE">
        <w:rPr>
          <w:rFonts w:cstheme="minorHAnsi"/>
          <w:color w:val="000000"/>
        </w:rPr>
        <w:t xml:space="preserve"> janvier 2022, et a mis en place en parallèle un dispositif de compensation des pertes de recettes des fournisseurs </w:t>
      </w:r>
      <w:r w:rsidR="003A5F1B" w:rsidRPr="003A5F1B">
        <w:rPr>
          <w:rFonts w:cstheme="minorHAnsi"/>
          <w:color w:val="000000"/>
        </w:rPr>
        <w:t>pour leurs offres aux TRVG et indexées sur les TRVG</w:t>
      </w:r>
      <w:r w:rsidR="00FE1549">
        <w:rPr>
          <w:rFonts w:cstheme="minorHAnsi"/>
          <w:color w:val="000000"/>
        </w:rPr>
        <w:t xml:space="preserve"> à partir du 1</w:t>
      </w:r>
      <w:r w:rsidR="00FE1549" w:rsidRPr="00FE1549">
        <w:rPr>
          <w:rFonts w:cstheme="minorHAnsi"/>
          <w:color w:val="000000"/>
          <w:vertAlign w:val="superscript"/>
        </w:rPr>
        <w:t>er</w:t>
      </w:r>
      <w:r w:rsidR="00FE1549">
        <w:rPr>
          <w:rFonts w:cstheme="minorHAnsi"/>
          <w:color w:val="000000"/>
        </w:rPr>
        <w:t xml:space="preserve"> </w:t>
      </w:r>
      <w:r w:rsidR="00417636">
        <w:rPr>
          <w:rFonts w:cstheme="minorHAnsi"/>
          <w:color w:val="000000"/>
        </w:rPr>
        <w:t>novembre</w:t>
      </w:r>
      <w:r w:rsidR="00FE1549">
        <w:rPr>
          <w:rFonts w:cstheme="minorHAnsi"/>
          <w:color w:val="000000"/>
        </w:rPr>
        <w:t xml:space="preserve"> 2021, </w:t>
      </w:r>
      <w:r w:rsidR="0030448D">
        <w:rPr>
          <w:rFonts w:cstheme="minorHAnsi"/>
          <w:color w:val="000000"/>
        </w:rPr>
        <w:t>pour les offres TRVG et indexées sur les TRVG proposées par les ELD à partir du 1</w:t>
      </w:r>
      <w:r w:rsidR="0030448D" w:rsidRPr="0030448D">
        <w:rPr>
          <w:rFonts w:cstheme="minorHAnsi"/>
          <w:color w:val="000000"/>
          <w:vertAlign w:val="superscript"/>
        </w:rPr>
        <w:t>er</w:t>
      </w:r>
      <w:r w:rsidR="0030448D">
        <w:rPr>
          <w:rFonts w:cstheme="minorHAnsi"/>
          <w:color w:val="000000"/>
        </w:rPr>
        <w:t xml:space="preserve"> janvier 2022 et pour les autres offres de marché à partir du 1</w:t>
      </w:r>
      <w:r w:rsidR="0030448D" w:rsidRPr="0030448D">
        <w:rPr>
          <w:rFonts w:cstheme="minorHAnsi"/>
          <w:color w:val="000000"/>
          <w:vertAlign w:val="superscript"/>
        </w:rPr>
        <w:t>er</w:t>
      </w:r>
      <w:r w:rsidR="0030448D">
        <w:rPr>
          <w:rFonts w:cstheme="minorHAnsi"/>
          <w:color w:val="000000"/>
        </w:rPr>
        <w:t xml:space="preserve"> septembre 2022</w:t>
      </w:r>
      <w:r w:rsidR="0078502D">
        <w:rPr>
          <w:rFonts w:cstheme="minorHAnsi"/>
          <w:color w:val="000000"/>
        </w:rPr>
        <w:t>,</w:t>
      </w:r>
      <w:r w:rsidR="003B76AE">
        <w:rPr>
          <w:rFonts w:cstheme="minorHAnsi"/>
          <w:color w:val="000000"/>
        </w:rPr>
        <w:t xml:space="preserve"> qui constituent des charges imputables</w:t>
      </w:r>
      <w:r w:rsidR="003A0AD5">
        <w:rPr>
          <w:rFonts w:cstheme="minorHAnsi"/>
          <w:color w:val="000000"/>
        </w:rPr>
        <w:t xml:space="preserve"> au</w:t>
      </w:r>
      <w:r w:rsidR="00533E0F">
        <w:rPr>
          <w:rFonts w:cstheme="minorHAnsi"/>
          <w:color w:val="000000"/>
        </w:rPr>
        <w:t>x obligations de service public de l’énergie (CSPE) compensées par l’Etat.</w:t>
      </w:r>
      <w:r w:rsidR="00260275">
        <w:rPr>
          <w:rFonts w:cstheme="minorHAnsi"/>
        </w:rPr>
        <w:t xml:space="preserve"> </w:t>
      </w:r>
    </w:p>
    <w:p w14:paraId="7F23B990" w14:textId="5212A734" w:rsidR="00260275" w:rsidRPr="00D75A80" w:rsidRDefault="00260275" w:rsidP="00260275">
      <w:pPr>
        <w:pStyle w:val="corpsdetexte"/>
        <w:rPr>
          <w:rFonts w:cstheme="minorHAnsi"/>
        </w:rPr>
      </w:pPr>
      <w:r w:rsidRPr="00D75A80">
        <w:rPr>
          <w:rFonts w:cstheme="minorHAnsi"/>
        </w:rPr>
        <w:t xml:space="preserve">Dans </w:t>
      </w:r>
      <w:r w:rsidR="00E25305">
        <w:rPr>
          <w:rFonts w:cstheme="minorHAnsi"/>
        </w:rPr>
        <w:t>s</w:t>
      </w:r>
      <w:r w:rsidR="00FD15DE">
        <w:rPr>
          <w:rFonts w:cstheme="minorHAnsi"/>
        </w:rPr>
        <w:t>es délibérations</w:t>
      </w:r>
      <w:r w:rsidR="002F6A67">
        <w:rPr>
          <w:rFonts w:cstheme="minorHAnsi"/>
        </w:rPr>
        <w:t xml:space="preserve"> 2023-71</w:t>
      </w:r>
      <w:r w:rsidR="00FB1E98">
        <w:rPr>
          <w:rFonts w:cstheme="minorHAnsi"/>
        </w:rPr>
        <w:t>, 2023-371</w:t>
      </w:r>
      <w:r w:rsidR="002F6A67">
        <w:rPr>
          <w:rFonts w:cstheme="minorHAnsi"/>
        </w:rPr>
        <w:t xml:space="preserve"> et</w:t>
      </w:r>
      <w:r w:rsidRPr="00D75A80">
        <w:rPr>
          <w:rFonts w:cstheme="minorHAnsi"/>
        </w:rPr>
        <w:t xml:space="preserve"> </w:t>
      </w:r>
      <w:r w:rsidR="00EB2E0E" w:rsidRPr="004A3E8D">
        <w:rPr>
          <w:rFonts w:cstheme="minorHAnsi"/>
          <w:highlight w:val="yellow"/>
        </w:rPr>
        <w:t>[citer la future délibération « comptabilité appropriée » de février 2024]</w:t>
      </w:r>
      <w:r w:rsidR="00EB2E0E" w:rsidRPr="00D75A80">
        <w:rPr>
          <w:rFonts w:cstheme="minorHAnsi"/>
        </w:rPr>
        <w:t xml:space="preserve"> </w:t>
      </w:r>
      <w:r w:rsidRPr="00D75A80">
        <w:rPr>
          <w:rFonts w:cstheme="minorHAnsi"/>
        </w:rPr>
        <w:t>notamment, la Commission de Régulation de l’Energie (CRE) précise les modalités d’application du dispositif, et encadre les déclarations des charges de service public pour les boucliers tarifaires.</w:t>
      </w:r>
    </w:p>
    <w:p w14:paraId="3041E4D0" w14:textId="259C45FD" w:rsidR="00172B67" w:rsidRPr="00D75A80" w:rsidRDefault="00260275" w:rsidP="00260275">
      <w:pPr>
        <w:pStyle w:val="corpsdetexte"/>
        <w:rPr>
          <w:rFonts w:cstheme="minorHAnsi"/>
        </w:rPr>
      </w:pPr>
      <w:r w:rsidRPr="004A3E8D">
        <w:rPr>
          <w:rFonts w:cstheme="minorHAnsi"/>
        </w:rPr>
        <w:t xml:space="preserve">Je soussigné, </w:t>
      </w:r>
      <w:r w:rsidRPr="00D75A80">
        <w:rPr>
          <w:rFonts w:cstheme="minorHAnsi"/>
          <w:highlight w:val="yellow"/>
        </w:rPr>
        <w:t>[nom du responsable</w:t>
      </w:r>
      <w:r w:rsidRPr="004A3E8D">
        <w:rPr>
          <w:rFonts w:cstheme="minorHAnsi"/>
        </w:rPr>
        <w:t xml:space="preserve">], représentant </w:t>
      </w:r>
      <w:r w:rsidRPr="004A3E8D">
        <w:rPr>
          <w:rFonts w:cstheme="minorHAnsi"/>
          <w:highlight w:val="yellow"/>
        </w:rPr>
        <w:t>[nom du fournisseur]</w:t>
      </w:r>
      <w:r w:rsidRPr="00D75A80">
        <w:rPr>
          <w:rFonts w:cstheme="minorHAnsi"/>
        </w:rPr>
        <w:t xml:space="preserve"> en ma qualité de [</w:t>
      </w:r>
      <w:r w:rsidRPr="004A3E8D">
        <w:rPr>
          <w:rFonts w:cstheme="minorHAnsi"/>
          <w:highlight w:val="yellow"/>
        </w:rPr>
        <w:t>fonction</w:t>
      </w:r>
      <w:r w:rsidRPr="00D75A80">
        <w:rPr>
          <w:rFonts w:cstheme="minorHAnsi"/>
        </w:rPr>
        <w:t>]</w:t>
      </w:r>
      <w:r w:rsidRPr="004A3E8D">
        <w:rPr>
          <w:rFonts w:cstheme="minorHAnsi"/>
        </w:rPr>
        <w:t xml:space="preserve"> déclare</w:t>
      </w:r>
      <w:r w:rsidRPr="00D75A80">
        <w:rPr>
          <w:rFonts w:cstheme="minorHAnsi"/>
        </w:rPr>
        <w:t xml:space="preserve"> que les informations essentielles listées ci-après, et </w:t>
      </w:r>
      <w:r w:rsidR="00A83C9A">
        <w:rPr>
          <w:rFonts w:cstheme="minorHAnsi"/>
        </w:rPr>
        <w:t>attestées</w:t>
      </w:r>
      <w:r w:rsidRPr="00D75A80">
        <w:rPr>
          <w:rFonts w:cstheme="minorHAnsi"/>
        </w:rPr>
        <w:t xml:space="preserve"> par </w:t>
      </w:r>
      <w:r w:rsidR="009375CC">
        <w:rPr>
          <w:rFonts w:cstheme="minorHAnsi"/>
        </w:rPr>
        <w:t>un</w:t>
      </w:r>
      <w:r w:rsidRPr="00D75A80">
        <w:rPr>
          <w:rFonts w:cstheme="minorHAnsi"/>
        </w:rPr>
        <w:t xml:space="preserve"> Commissaire au</w:t>
      </w:r>
      <w:r w:rsidR="009375CC">
        <w:rPr>
          <w:rFonts w:cstheme="minorHAnsi"/>
        </w:rPr>
        <w:t>x</w:t>
      </w:r>
      <w:r w:rsidRPr="00D75A80">
        <w:rPr>
          <w:rFonts w:cstheme="minorHAnsi"/>
        </w:rPr>
        <w:t xml:space="preserve"> compte</w:t>
      </w:r>
      <w:r w:rsidR="009375CC">
        <w:rPr>
          <w:rFonts w:cstheme="minorHAnsi"/>
        </w:rPr>
        <w:t>s</w:t>
      </w:r>
      <w:r w:rsidR="00A01A94">
        <w:rPr>
          <w:rFonts w:cstheme="minorHAnsi"/>
        </w:rPr>
        <w:t>, ou le cas échéant par mon expert-comptable</w:t>
      </w:r>
      <w:r w:rsidRPr="00D75A80">
        <w:rPr>
          <w:rFonts w:cstheme="minorHAnsi"/>
        </w:rPr>
        <w:t>, sont exactes et correspondent au contenu de la déclaration remises à la CRE concernant l</w:t>
      </w:r>
      <w:r w:rsidRPr="004A3E8D">
        <w:rPr>
          <w:rFonts w:cstheme="minorHAnsi"/>
        </w:rPr>
        <w:t xml:space="preserve">es pertes de recettes à compenser par les CSPE au titre </w:t>
      </w:r>
      <w:r w:rsidRPr="00D75A80">
        <w:rPr>
          <w:rFonts w:cstheme="minorHAnsi"/>
        </w:rPr>
        <w:t xml:space="preserve">du bouclier tarifaire </w:t>
      </w:r>
      <w:r w:rsidR="002E355A">
        <w:rPr>
          <w:rFonts w:cstheme="minorHAnsi"/>
        </w:rPr>
        <w:t>gaz</w:t>
      </w:r>
      <w:r w:rsidRPr="00D75A80">
        <w:rPr>
          <w:rFonts w:cstheme="minorHAnsi"/>
        </w:rPr>
        <w:t xml:space="preserve"> 202</w:t>
      </w:r>
      <w:r w:rsidR="002E355A">
        <w:rPr>
          <w:rFonts w:cstheme="minorHAnsi"/>
        </w:rPr>
        <w:t>2</w:t>
      </w:r>
      <w:r w:rsidRPr="00D75A80">
        <w:rPr>
          <w:rFonts w:cstheme="minorHAnsi"/>
        </w:rPr>
        <w:t xml:space="preserve">. </w:t>
      </w:r>
    </w:p>
    <w:p w14:paraId="2749CCB9" w14:textId="14097657" w:rsidR="00D766DD" w:rsidRPr="00482692" w:rsidRDefault="00D766DD" w:rsidP="00482692">
      <w:pPr>
        <w:pStyle w:val="Titre2"/>
        <w:rPr>
          <w:sz w:val="32"/>
          <w:szCs w:val="32"/>
        </w:rPr>
      </w:pPr>
      <w:r w:rsidRPr="00482692">
        <w:rPr>
          <w:sz w:val="32"/>
          <w:szCs w:val="32"/>
        </w:rPr>
        <w:t>Données de consommation</w:t>
      </w:r>
    </w:p>
    <w:p w14:paraId="144D3CF2" w14:textId="51E408C0" w:rsidR="004D122D" w:rsidRPr="00FA7E86" w:rsidRDefault="004D122D" w:rsidP="00D766DD">
      <w:pPr>
        <w:jc w:val="both"/>
        <w:rPr>
          <w:rFonts w:ascii="Franklin Gothic Book" w:hAnsi="Franklin Gothic Book"/>
          <w:sz w:val="18"/>
          <w:szCs w:val="18"/>
        </w:rPr>
      </w:pPr>
      <w:r w:rsidRPr="00FA7E86">
        <w:rPr>
          <w:rFonts w:ascii="Franklin Gothic Book" w:hAnsi="Franklin Gothic Book"/>
          <w:sz w:val="18"/>
          <w:szCs w:val="18"/>
        </w:rPr>
        <w:t xml:space="preserve">Pour les offres déclarées </w:t>
      </w:r>
      <w:r w:rsidR="00B66BF9">
        <w:rPr>
          <w:rFonts w:ascii="Franklin Gothic Book" w:hAnsi="Franklin Gothic Book"/>
          <w:sz w:val="18"/>
          <w:szCs w:val="18"/>
        </w:rPr>
        <w:t xml:space="preserve">dans les pertes de recettes </w:t>
      </w:r>
      <w:r w:rsidR="00B66BF9" w:rsidRPr="005F037D">
        <w:rPr>
          <w:rFonts w:ascii="Franklin Gothic Book" w:hAnsi="Franklin Gothic Book"/>
          <w:sz w:val="18"/>
          <w:szCs w:val="18"/>
        </w:rPr>
        <w:t>au</w:t>
      </w:r>
      <w:r w:rsidR="00B66BF9">
        <w:rPr>
          <w:rFonts w:ascii="Franklin Gothic Book" w:hAnsi="Franklin Gothic Book"/>
          <w:sz w:val="18"/>
          <w:szCs w:val="18"/>
        </w:rPr>
        <w:t xml:space="preserve"> titre du</w:t>
      </w:r>
      <w:r w:rsidR="00B66BF9" w:rsidRPr="005F037D">
        <w:rPr>
          <w:rFonts w:ascii="Franklin Gothic Book" w:hAnsi="Franklin Gothic Book"/>
          <w:sz w:val="18"/>
          <w:szCs w:val="18"/>
        </w:rPr>
        <w:t xml:space="preserve"> </w:t>
      </w:r>
      <w:r w:rsidRPr="00FA7E86">
        <w:rPr>
          <w:rFonts w:ascii="Franklin Gothic Book" w:hAnsi="Franklin Gothic Book"/>
          <w:sz w:val="18"/>
          <w:szCs w:val="18"/>
        </w:rPr>
        <w:t>bouclier tarifaire gaz</w:t>
      </w:r>
      <w:r w:rsidR="00966D26" w:rsidRPr="00FA7E86">
        <w:rPr>
          <w:rFonts w:ascii="Franklin Gothic Book" w:hAnsi="Franklin Gothic Book"/>
          <w:sz w:val="18"/>
          <w:szCs w:val="18"/>
        </w:rPr>
        <w:t>, du 1</w:t>
      </w:r>
      <w:r w:rsidR="00966D26" w:rsidRPr="00FA7E86">
        <w:rPr>
          <w:rFonts w:ascii="Franklin Gothic Book" w:hAnsi="Franklin Gothic Book"/>
          <w:sz w:val="18"/>
          <w:szCs w:val="18"/>
          <w:vertAlign w:val="superscript"/>
        </w:rPr>
        <w:t>er</w:t>
      </w:r>
      <w:r w:rsidR="00966D26" w:rsidRPr="00FA7E86">
        <w:rPr>
          <w:rFonts w:ascii="Franklin Gothic Book" w:hAnsi="Franklin Gothic Book"/>
          <w:sz w:val="18"/>
          <w:szCs w:val="18"/>
        </w:rPr>
        <w:t xml:space="preserve"> </w:t>
      </w:r>
      <w:r w:rsidR="00D36FE3">
        <w:rPr>
          <w:rFonts w:ascii="Franklin Gothic Book" w:hAnsi="Franklin Gothic Book"/>
          <w:sz w:val="18"/>
          <w:szCs w:val="18"/>
        </w:rPr>
        <w:t>novembre</w:t>
      </w:r>
      <w:r w:rsidR="00966D26" w:rsidRPr="00FA7E86">
        <w:rPr>
          <w:rFonts w:ascii="Franklin Gothic Book" w:hAnsi="Franklin Gothic Book"/>
          <w:sz w:val="18"/>
          <w:szCs w:val="18"/>
        </w:rPr>
        <w:t xml:space="preserve"> 202</w:t>
      </w:r>
      <w:r w:rsidR="00D36FE3">
        <w:rPr>
          <w:rFonts w:ascii="Franklin Gothic Book" w:hAnsi="Franklin Gothic Book"/>
          <w:sz w:val="18"/>
          <w:szCs w:val="18"/>
        </w:rPr>
        <w:t>1</w:t>
      </w:r>
      <w:r w:rsidR="00966D26" w:rsidRPr="00FA7E86">
        <w:rPr>
          <w:rFonts w:ascii="Franklin Gothic Book" w:hAnsi="Franklin Gothic Book"/>
          <w:sz w:val="18"/>
          <w:szCs w:val="18"/>
        </w:rPr>
        <w:t xml:space="preserve"> au </w:t>
      </w:r>
      <w:r w:rsidR="00D36FE3">
        <w:rPr>
          <w:rFonts w:ascii="Franklin Gothic Book" w:hAnsi="Franklin Gothic Book"/>
          <w:sz w:val="18"/>
          <w:szCs w:val="18"/>
        </w:rPr>
        <w:t>31 décembre 2022</w:t>
      </w:r>
      <w:r w:rsidRPr="00FA7E86">
        <w:rPr>
          <w:rFonts w:ascii="Franklin Gothic Book" w:hAnsi="Franklin Gothic Book"/>
          <w:sz w:val="18"/>
          <w:szCs w:val="18"/>
        </w:rPr>
        <w:t>.</w:t>
      </w:r>
    </w:p>
    <w:tbl>
      <w:tblPr>
        <w:tblStyle w:val="Grilledutableau"/>
        <w:tblW w:w="9067" w:type="dxa"/>
        <w:tblLayout w:type="fixed"/>
        <w:tblLook w:val="04A0" w:firstRow="1" w:lastRow="0" w:firstColumn="1" w:lastColumn="0" w:noHBand="0" w:noVBand="1"/>
      </w:tblPr>
      <w:tblGrid>
        <w:gridCol w:w="1696"/>
        <w:gridCol w:w="1560"/>
        <w:gridCol w:w="1559"/>
        <w:gridCol w:w="4252"/>
      </w:tblGrid>
      <w:tr w:rsidR="00A738D6" w:rsidRPr="005F037D" w14:paraId="62F605F0" w14:textId="6AF2B1D5" w:rsidTr="00252977">
        <w:tc>
          <w:tcPr>
            <w:tcW w:w="1696" w:type="dxa"/>
          </w:tcPr>
          <w:p w14:paraId="79AA4447" w14:textId="77777777" w:rsidR="00A738D6" w:rsidRPr="00DA1AEF" w:rsidRDefault="00A738D6" w:rsidP="00A738D6">
            <w:pPr>
              <w:pStyle w:val="corpsdetexte"/>
              <w:rPr>
                <w:b/>
                <w:bCs/>
                <w:sz w:val="18"/>
                <w:szCs w:val="18"/>
              </w:rPr>
            </w:pPr>
            <w:r w:rsidRPr="00DA1AEF">
              <w:rPr>
                <w:b/>
                <w:bCs/>
              </w:rPr>
              <w:t>Portefeuille</w:t>
            </w:r>
          </w:p>
          <w:p w14:paraId="140A492A" w14:textId="77777777" w:rsidR="00A738D6" w:rsidRPr="00DA1AEF" w:rsidRDefault="00A738D6" w:rsidP="00A738D6">
            <w:pPr>
              <w:pStyle w:val="corpsdetexte"/>
              <w:rPr>
                <w:b/>
                <w:bCs/>
              </w:rPr>
            </w:pPr>
          </w:p>
        </w:tc>
        <w:tc>
          <w:tcPr>
            <w:tcW w:w="1560" w:type="dxa"/>
          </w:tcPr>
          <w:p w14:paraId="11A2DCB2" w14:textId="30F9249E" w:rsidR="00A738D6" w:rsidRPr="00DA1AEF" w:rsidRDefault="00A738D6" w:rsidP="00A738D6">
            <w:pPr>
              <w:pStyle w:val="corpsdetexte"/>
              <w:rPr>
                <w:b/>
                <w:bCs/>
              </w:rPr>
            </w:pPr>
            <w:r w:rsidRPr="004A3E8D">
              <w:t>Consommation réalisée (MWh)</w:t>
            </w:r>
            <w:r>
              <w:t xml:space="preserve"> – déclarée en mars 2023</w:t>
            </w:r>
          </w:p>
        </w:tc>
        <w:tc>
          <w:tcPr>
            <w:tcW w:w="1559" w:type="dxa"/>
          </w:tcPr>
          <w:p w14:paraId="69A57CFD" w14:textId="2242E896" w:rsidR="00A738D6" w:rsidRPr="00DA1AEF" w:rsidRDefault="00A738D6" w:rsidP="00A738D6">
            <w:pPr>
              <w:pStyle w:val="corpsdetexte"/>
              <w:rPr>
                <w:b/>
                <w:bCs/>
              </w:rPr>
            </w:pPr>
            <w:r w:rsidRPr="004A3E8D">
              <w:t>Consommation réalisée (MWh)</w:t>
            </w:r>
            <w:r>
              <w:t xml:space="preserve"> – mise à jour</w:t>
            </w:r>
          </w:p>
        </w:tc>
        <w:tc>
          <w:tcPr>
            <w:tcW w:w="4252" w:type="dxa"/>
          </w:tcPr>
          <w:p w14:paraId="0F9713DE" w14:textId="7BE179F0" w:rsidR="00A738D6" w:rsidRPr="00DA1AEF" w:rsidRDefault="00A738D6" w:rsidP="00A738D6">
            <w:pPr>
              <w:pStyle w:val="corpsdetexte"/>
              <w:rPr>
                <w:b/>
                <w:bCs/>
              </w:rPr>
            </w:pPr>
            <w:r>
              <w:t>Motif de la mise à jour</w:t>
            </w:r>
          </w:p>
        </w:tc>
      </w:tr>
      <w:tr w:rsidR="00A738D6" w:rsidRPr="005F037D" w14:paraId="7673F472" w14:textId="56A3121F" w:rsidTr="00252977">
        <w:trPr>
          <w:trHeight w:val="409"/>
        </w:trPr>
        <w:tc>
          <w:tcPr>
            <w:tcW w:w="1696" w:type="dxa"/>
          </w:tcPr>
          <w:p w14:paraId="5DC84286" w14:textId="77777777" w:rsidR="00A738D6" w:rsidRDefault="00A738D6" w:rsidP="00A738D6">
            <w:pPr>
              <w:pStyle w:val="corpsdetexte"/>
            </w:pPr>
            <w:r w:rsidRPr="004A3E8D">
              <w:t xml:space="preserve">Offres </w:t>
            </w:r>
            <w:r>
              <w:t>de marché</w:t>
            </w:r>
          </w:p>
          <w:p w14:paraId="70737C05" w14:textId="0EDEA08A" w:rsidR="00A738D6" w:rsidRPr="004A3E8D" w:rsidRDefault="00A738D6" w:rsidP="00A738D6">
            <w:pPr>
              <w:pStyle w:val="corpsdetexte"/>
            </w:pPr>
          </w:p>
        </w:tc>
        <w:tc>
          <w:tcPr>
            <w:tcW w:w="1560" w:type="dxa"/>
          </w:tcPr>
          <w:p w14:paraId="641DA6E2" w14:textId="77777777" w:rsidR="00A738D6" w:rsidRPr="004A3E8D" w:rsidRDefault="00A738D6" w:rsidP="00A738D6">
            <w:pPr>
              <w:pStyle w:val="corpsdetexte"/>
            </w:pPr>
          </w:p>
        </w:tc>
        <w:tc>
          <w:tcPr>
            <w:tcW w:w="1559" w:type="dxa"/>
          </w:tcPr>
          <w:p w14:paraId="1969C7FA" w14:textId="0CB703E9" w:rsidR="00A738D6" w:rsidRPr="004A3E8D" w:rsidRDefault="00A738D6" w:rsidP="00A738D6">
            <w:pPr>
              <w:pStyle w:val="corpsdetexte"/>
            </w:pPr>
          </w:p>
        </w:tc>
        <w:tc>
          <w:tcPr>
            <w:tcW w:w="4252" w:type="dxa"/>
          </w:tcPr>
          <w:p w14:paraId="3AEDD748" w14:textId="77777777" w:rsidR="00A738D6" w:rsidRPr="004A3E8D" w:rsidRDefault="00A738D6" w:rsidP="00A738D6">
            <w:pPr>
              <w:pStyle w:val="corpsdetexte"/>
            </w:pPr>
          </w:p>
        </w:tc>
      </w:tr>
      <w:tr w:rsidR="00A738D6" w:rsidRPr="005F037D" w14:paraId="1B05B243" w14:textId="0955B787" w:rsidTr="00252977">
        <w:tc>
          <w:tcPr>
            <w:tcW w:w="1696" w:type="dxa"/>
          </w:tcPr>
          <w:p w14:paraId="2E9E935C" w14:textId="77777777" w:rsidR="00A738D6" w:rsidRDefault="00A738D6" w:rsidP="00A738D6">
            <w:pPr>
              <w:pStyle w:val="corpsdetexte"/>
            </w:pPr>
            <w:r w:rsidRPr="004A3E8D">
              <w:t xml:space="preserve">Offres </w:t>
            </w:r>
            <w:r>
              <w:t>TRV</w:t>
            </w:r>
          </w:p>
          <w:p w14:paraId="1CEE9EA4" w14:textId="58ACAB5F" w:rsidR="00A738D6" w:rsidRPr="004A3E8D" w:rsidRDefault="00A738D6" w:rsidP="00A738D6">
            <w:pPr>
              <w:pStyle w:val="corpsdetexte"/>
            </w:pPr>
          </w:p>
        </w:tc>
        <w:tc>
          <w:tcPr>
            <w:tcW w:w="1560" w:type="dxa"/>
          </w:tcPr>
          <w:p w14:paraId="0074CDE7" w14:textId="77777777" w:rsidR="00A738D6" w:rsidRPr="004A3E8D" w:rsidRDefault="00A738D6" w:rsidP="00A738D6">
            <w:pPr>
              <w:pStyle w:val="corpsdetexte"/>
            </w:pPr>
          </w:p>
        </w:tc>
        <w:tc>
          <w:tcPr>
            <w:tcW w:w="1559" w:type="dxa"/>
          </w:tcPr>
          <w:p w14:paraId="0948C423" w14:textId="4A2B76AE" w:rsidR="00A738D6" w:rsidRPr="004A3E8D" w:rsidRDefault="00A738D6" w:rsidP="00A738D6">
            <w:pPr>
              <w:pStyle w:val="corpsdetexte"/>
            </w:pPr>
          </w:p>
        </w:tc>
        <w:tc>
          <w:tcPr>
            <w:tcW w:w="4252" w:type="dxa"/>
          </w:tcPr>
          <w:p w14:paraId="5621C202" w14:textId="77777777" w:rsidR="00A738D6" w:rsidRPr="004A3E8D" w:rsidRDefault="00A738D6" w:rsidP="00A738D6">
            <w:pPr>
              <w:pStyle w:val="corpsdetexte"/>
            </w:pPr>
          </w:p>
        </w:tc>
      </w:tr>
    </w:tbl>
    <w:p w14:paraId="58451A98" w14:textId="77777777" w:rsidR="00E00E07" w:rsidRPr="00FA7E86" w:rsidRDefault="00E00E07" w:rsidP="00D766DD">
      <w:pPr>
        <w:jc w:val="both"/>
        <w:rPr>
          <w:rFonts w:ascii="Franklin Gothic Book" w:hAnsi="Franklin Gothic Book"/>
          <w:b/>
          <w:bCs/>
          <w:sz w:val="2"/>
          <w:szCs w:val="2"/>
        </w:rPr>
      </w:pPr>
    </w:p>
    <w:p w14:paraId="50D9A7D4" w14:textId="77777777" w:rsidR="00D766DD" w:rsidRPr="00FA7E86" w:rsidRDefault="00D766DD" w:rsidP="00482692">
      <w:pPr>
        <w:pStyle w:val="Titre1"/>
      </w:pPr>
      <w:r w:rsidRPr="00FA7E86">
        <w:t>Coûts d’approvisionnement</w:t>
      </w:r>
    </w:p>
    <w:p w14:paraId="357F04F0" w14:textId="0E3FB91E" w:rsidR="00B92A16" w:rsidRPr="00D25DA9" w:rsidRDefault="00D766DD" w:rsidP="00482692">
      <w:pPr>
        <w:pStyle w:val="corpsdetexte"/>
        <w:keepNext/>
      </w:pPr>
      <w:r w:rsidRPr="00482692">
        <w:t xml:space="preserve">Pour l’ensemble des </w:t>
      </w:r>
      <w:r w:rsidR="00AA27D2" w:rsidRPr="00482692">
        <w:t xml:space="preserve">livraisons </w:t>
      </w:r>
      <w:r w:rsidR="00D07F90">
        <w:t xml:space="preserve">allant à des offres </w:t>
      </w:r>
      <w:r w:rsidR="00BE2875">
        <w:t>éligibles</w:t>
      </w:r>
      <w:r w:rsidR="00D07F90">
        <w:t xml:space="preserve"> </w:t>
      </w:r>
      <w:r w:rsidR="00BE2875">
        <w:t>au</w:t>
      </w:r>
      <w:r w:rsidR="00D07F90">
        <w:t xml:space="preserve"> bouclier tarifaire gaz</w:t>
      </w:r>
      <w:r w:rsidR="00BE2875">
        <w:t xml:space="preserve"> </w:t>
      </w:r>
      <w:r w:rsidR="00842264">
        <w:t>pour les périodes citées en introduction</w:t>
      </w:r>
      <w:r w:rsidR="00AA27D2" w:rsidRPr="00482692">
        <w:t xml:space="preserve">, </w:t>
      </w:r>
      <w:r w:rsidR="00B92A16" w:rsidRPr="00D25DA9">
        <w:t>au périmètre de la définition des coûts d’approvisionnement décrit dans la délibération 2023-</w:t>
      </w:r>
      <w:r w:rsidR="00286388">
        <w:t>78</w:t>
      </w:r>
      <w:r w:rsidR="00B92A16" w:rsidRPr="00D25DA9">
        <w:t xml:space="preserve"> de la CRE. J’atteste que les données</w:t>
      </w:r>
      <w:r w:rsidR="00211911">
        <w:t xml:space="preserve"> </w:t>
      </w:r>
      <w:r w:rsidR="00B92A16" w:rsidRPr="00D25DA9">
        <w:t>renseignées ci-dessous correspondent bien aux méthodologies d’identification des coûts pour chaque portefeuille remises à la CRE dans le cadre de ma déclaration.</w:t>
      </w:r>
    </w:p>
    <w:tbl>
      <w:tblPr>
        <w:tblStyle w:val="Grilledutableau"/>
        <w:tblW w:w="0" w:type="auto"/>
        <w:tblLook w:val="04A0" w:firstRow="1" w:lastRow="0" w:firstColumn="1" w:lastColumn="0" w:noHBand="0" w:noVBand="1"/>
      </w:tblPr>
      <w:tblGrid>
        <w:gridCol w:w="2972"/>
        <w:gridCol w:w="2951"/>
        <w:gridCol w:w="3093"/>
      </w:tblGrid>
      <w:tr w:rsidR="00CE6AEF" w:rsidRPr="00FA7E86" w14:paraId="1A78F13D" w14:textId="77777777" w:rsidTr="009301AE">
        <w:trPr>
          <w:trHeight w:val="551"/>
        </w:trPr>
        <w:tc>
          <w:tcPr>
            <w:tcW w:w="2972" w:type="dxa"/>
          </w:tcPr>
          <w:p w14:paraId="5F0BBC76" w14:textId="02355DB8" w:rsidR="00CE6AEF" w:rsidRPr="00482692" w:rsidRDefault="00CE6AEF" w:rsidP="00482692">
            <w:pPr>
              <w:keepNext/>
              <w:jc w:val="both"/>
              <w:rPr>
                <w:rFonts w:ascii="Franklin Gothic Book" w:hAnsi="Franklin Gothic Book"/>
                <w:sz w:val="20"/>
                <w:szCs w:val="20"/>
              </w:rPr>
            </w:pPr>
            <w:r>
              <w:rPr>
                <w:rFonts w:ascii="Franklin Gothic Book" w:hAnsi="Franklin Gothic Book"/>
                <w:sz w:val="20"/>
                <w:szCs w:val="20"/>
              </w:rPr>
              <w:t>Portefeuille</w:t>
            </w:r>
          </w:p>
          <w:p w14:paraId="6049DCDF" w14:textId="77777777" w:rsidR="00CE6AEF" w:rsidRPr="00482692" w:rsidRDefault="00CE6AEF" w:rsidP="00482692">
            <w:pPr>
              <w:keepNext/>
              <w:jc w:val="both"/>
              <w:rPr>
                <w:rFonts w:ascii="Franklin Gothic Book" w:hAnsi="Franklin Gothic Book"/>
                <w:sz w:val="20"/>
                <w:szCs w:val="20"/>
              </w:rPr>
            </w:pPr>
          </w:p>
        </w:tc>
        <w:tc>
          <w:tcPr>
            <w:tcW w:w="2951" w:type="dxa"/>
          </w:tcPr>
          <w:p w14:paraId="2A64DEF7" w14:textId="4F692DBC" w:rsidR="00CE6AEF" w:rsidRPr="00482692" w:rsidRDefault="00CE6AEF" w:rsidP="00482692">
            <w:pPr>
              <w:keepNext/>
              <w:jc w:val="both"/>
              <w:rPr>
                <w:rFonts w:ascii="Franklin Gothic Book" w:hAnsi="Franklin Gothic Book"/>
                <w:sz w:val="20"/>
                <w:szCs w:val="20"/>
              </w:rPr>
            </w:pPr>
            <w:r w:rsidRPr="00CE6AEF">
              <w:rPr>
                <w:rFonts w:ascii="Franklin Gothic Book" w:hAnsi="Franklin Gothic Book"/>
                <w:sz w:val="20"/>
                <w:szCs w:val="20"/>
              </w:rPr>
              <w:t>Volumes concernés (MWh)</w:t>
            </w:r>
          </w:p>
        </w:tc>
        <w:tc>
          <w:tcPr>
            <w:tcW w:w="3093" w:type="dxa"/>
          </w:tcPr>
          <w:p w14:paraId="21DC4612" w14:textId="63ED871A" w:rsidR="00CE6AEF" w:rsidRPr="00482692" w:rsidRDefault="00CE6AEF" w:rsidP="00482692">
            <w:pPr>
              <w:keepNext/>
              <w:jc w:val="both"/>
              <w:rPr>
                <w:rFonts w:ascii="Franklin Gothic Book" w:hAnsi="Franklin Gothic Book"/>
                <w:sz w:val="20"/>
                <w:szCs w:val="20"/>
              </w:rPr>
            </w:pPr>
            <w:r w:rsidRPr="00482692">
              <w:rPr>
                <w:rFonts w:ascii="Franklin Gothic Book" w:hAnsi="Franklin Gothic Book"/>
                <w:sz w:val="20"/>
                <w:szCs w:val="20"/>
              </w:rPr>
              <w:t>Coût d’approvisionnement moyen pondéré (</w:t>
            </w:r>
            <w:r>
              <w:rPr>
                <w:rFonts w:ascii="Franklin Gothic Book" w:hAnsi="Franklin Gothic Book"/>
                <w:sz w:val="20"/>
                <w:szCs w:val="20"/>
              </w:rPr>
              <w:t>€/</w:t>
            </w:r>
            <w:r w:rsidRPr="00482692">
              <w:rPr>
                <w:rFonts w:ascii="Franklin Gothic Book" w:hAnsi="Franklin Gothic Book"/>
                <w:sz w:val="20"/>
                <w:szCs w:val="20"/>
              </w:rPr>
              <w:t>MWh)</w:t>
            </w:r>
          </w:p>
        </w:tc>
      </w:tr>
      <w:tr w:rsidR="00CE6AEF" w:rsidRPr="00FA7E86" w14:paraId="056D1A39" w14:textId="77777777" w:rsidTr="009301AE">
        <w:trPr>
          <w:trHeight w:val="559"/>
        </w:trPr>
        <w:tc>
          <w:tcPr>
            <w:tcW w:w="2972" w:type="dxa"/>
          </w:tcPr>
          <w:p w14:paraId="74E70A3D" w14:textId="2F3953BB" w:rsidR="009301AE" w:rsidRDefault="00CE6AEF" w:rsidP="00482692">
            <w:pPr>
              <w:keepNext/>
              <w:jc w:val="both"/>
              <w:rPr>
                <w:rFonts w:ascii="Franklin Gothic Book" w:hAnsi="Franklin Gothic Book"/>
                <w:sz w:val="20"/>
                <w:szCs w:val="20"/>
              </w:rPr>
            </w:pPr>
            <w:r w:rsidRPr="00482692">
              <w:rPr>
                <w:rFonts w:ascii="Franklin Gothic Book" w:hAnsi="Franklin Gothic Book"/>
                <w:sz w:val="20"/>
                <w:szCs w:val="20"/>
              </w:rPr>
              <w:t>Offres TRV</w:t>
            </w:r>
          </w:p>
          <w:p w14:paraId="157B4960" w14:textId="765715BE" w:rsidR="009301AE" w:rsidRPr="00482692" w:rsidRDefault="009301AE" w:rsidP="00482692">
            <w:pPr>
              <w:keepNext/>
              <w:jc w:val="both"/>
              <w:rPr>
                <w:rFonts w:ascii="Franklin Gothic Book" w:hAnsi="Franklin Gothic Book"/>
                <w:sz w:val="20"/>
                <w:szCs w:val="20"/>
              </w:rPr>
            </w:pPr>
          </w:p>
        </w:tc>
        <w:tc>
          <w:tcPr>
            <w:tcW w:w="2951" w:type="dxa"/>
          </w:tcPr>
          <w:p w14:paraId="350BE503" w14:textId="77777777" w:rsidR="00CE6AEF" w:rsidRPr="00482692" w:rsidRDefault="00CE6AEF" w:rsidP="00482692">
            <w:pPr>
              <w:keepNext/>
              <w:jc w:val="both"/>
              <w:rPr>
                <w:rFonts w:ascii="Franklin Gothic Book" w:hAnsi="Franklin Gothic Book"/>
                <w:sz w:val="20"/>
                <w:szCs w:val="20"/>
              </w:rPr>
            </w:pPr>
          </w:p>
        </w:tc>
        <w:tc>
          <w:tcPr>
            <w:tcW w:w="3093" w:type="dxa"/>
          </w:tcPr>
          <w:p w14:paraId="55CF1BDF" w14:textId="1C9FAF11" w:rsidR="00CE6AEF" w:rsidRPr="00482692" w:rsidRDefault="00CE6AEF" w:rsidP="00482692">
            <w:pPr>
              <w:keepNext/>
              <w:jc w:val="both"/>
              <w:rPr>
                <w:rFonts w:ascii="Franklin Gothic Book" w:hAnsi="Franklin Gothic Book"/>
                <w:sz w:val="20"/>
                <w:szCs w:val="20"/>
              </w:rPr>
            </w:pPr>
          </w:p>
        </w:tc>
      </w:tr>
      <w:tr w:rsidR="00CE6AEF" w:rsidRPr="00FA7E86" w14:paraId="7F8CE1C2" w14:textId="77777777" w:rsidTr="009301AE">
        <w:trPr>
          <w:trHeight w:val="550"/>
        </w:trPr>
        <w:tc>
          <w:tcPr>
            <w:tcW w:w="2972" w:type="dxa"/>
          </w:tcPr>
          <w:p w14:paraId="6A5664AE" w14:textId="1D731ABF" w:rsidR="009301AE" w:rsidRPr="00482692" w:rsidRDefault="00A22DE4" w:rsidP="00482692">
            <w:pPr>
              <w:keepNext/>
              <w:jc w:val="both"/>
              <w:rPr>
                <w:rFonts w:ascii="Franklin Gothic Book" w:hAnsi="Franklin Gothic Book"/>
                <w:sz w:val="20"/>
                <w:szCs w:val="20"/>
              </w:rPr>
            </w:pPr>
            <w:r w:rsidRPr="00A22DE4">
              <w:rPr>
                <w:rFonts w:ascii="Franklin Gothic Book" w:hAnsi="Franklin Gothic Book"/>
                <w:sz w:val="20"/>
                <w:szCs w:val="20"/>
              </w:rPr>
              <w:t xml:space="preserve">Offres de marché aux clients bénéficiaires du bouclier tarifaire </w:t>
            </w:r>
          </w:p>
        </w:tc>
        <w:tc>
          <w:tcPr>
            <w:tcW w:w="2951" w:type="dxa"/>
          </w:tcPr>
          <w:p w14:paraId="590A9771" w14:textId="77777777" w:rsidR="00CE6AEF" w:rsidRPr="00482692" w:rsidRDefault="00CE6AEF" w:rsidP="00482692">
            <w:pPr>
              <w:keepNext/>
              <w:jc w:val="both"/>
              <w:rPr>
                <w:rFonts w:ascii="Franklin Gothic Book" w:hAnsi="Franklin Gothic Book"/>
                <w:sz w:val="20"/>
                <w:szCs w:val="20"/>
              </w:rPr>
            </w:pPr>
          </w:p>
        </w:tc>
        <w:tc>
          <w:tcPr>
            <w:tcW w:w="3093" w:type="dxa"/>
          </w:tcPr>
          <w:p w14:paraId="2339E82E" w14:textId="37A8928A" w:rsidR="00CE6AEF" w:rsidRPr="00482692" w:rsidRDefault="00CE6AEF" w:rsidP="00482692">
            <w:pPr>
              <w:keepNext/>
              <w:jc w:val="both"/>
              <w:rPr>
                <w:rFonts w:ascii="Franklin Gothic Book" w:hAnsi="Franklin Gothic Book"/>
                <w:sz w:val="20"/>
                <w:szCs w:val="20"/>
              </w:rPr>
            </w:pPr>
          </w:p>
        </w:tc>
      </w:tr>
      <w:tr w:rsidR="00CE6AEF" w:rsidRPr="00FA7E86" w14:paraId="4786AECD" w14:textId="77777777" w:rsidTr="009301AE">
        <w:trPr>
          <w:trHeight w:val="550"/>
        </w:trPr>
        <w:tc>
          <w:tcPr>
            <w:tcW w:w="2972" w:type="dxa"/>
          </w:tcPr>
          <w:p w14:paraId="11158729" w14:textId="7B94D290" w:rsidR="00CE6AEF" w:rsidRPr="00482692" w:rsidRDefault="009301AE" w:rsidP="009301AE">
            <w:pPr>
              <w:keepNext/>
              <w:rPr>
                <w:rFonts w:ascii="Franklin Gothic Book" w:hAnsi="Franklin Gothic Book"/>
                <w:sz w:val="20"/>
                <w:szCs w:val="20"/>
              </w:rPr>
            </w:pPr>
            <w:r w:rsidRPr="009301AE">
              <w:rPr>
                <w:rFonts w:ascii="Franklin Gothic Book" w:hAnsi="Franklin Gothic Book"/>
                <w:sz w:val="20"/>
                <w:szCs w:val="20"/>
              </w:rPr>
              <w:t>Offres de marché aux clients éligibles mais non bénéficiaires du bouclier tarifaire</w:t>
            </w:r>
          </w:p>
        </w:tc>
        <w:tc>
          <w:tcPr>
            <w:tcW w:w="2951" w:type="dxa"/>
          </w:tcPr>
          <w:p w14:paraId="0A2E13EC" w14:textId="77777777" w:rsidR="00CE6AEF" w:rsidRPr="00482692" w:rsidRDefault="00CE6AEF" w:rsidP="00482692">
            <w:pPr>
              <w:keepNext/>
              <w:jc w:val="both"/>
              <w:rPr>
                <w:rFonts w:ascii="Franklin Gothic Book" w:hAnsi="Franklin Gothic Book"/>
                <w:sz w:val="20"/>
                <w:szCs w:val="20"/>
              </w:rPr>
            </w:pPr>
          </w:p>
        </w:tc>
        <w:tc>
          <w:tcPr>
            <w:tcW w:w="3093" w:type="dxa"/>
          </w:tcPr>
          <w:p w14:paraId="01EEF702" w14:textId="426A7C44" w:rsidR="00CE6AEF" w:rsidRPr="00482692" w:rsidRDefault="00CE6AEF" w:rsidP="00482692">
            <w:pPr>
              <w:keepNext/>
              <w:jc w:val="both"/>
              <w:rPr>
                <w:rFonts w:ascii="Franklin Gothic Book" w:hAnsi="Franklin Gothic Book"/>
                <w:sz w:val="20"/>
                <w:szCs w:val="20"/>
              </w:rPr>
            </w:pPr>
          </w:p>
        </w:tc>
      </w:tr>
    </w:tbl>
    <w:p w14:paraId="013E755F" w14:textId="77777777" w:rsidR="004570EE" w:rsidRDefault="004570EE">
      <w:pPr>
        <w:rPr>
          <w:rFonts w:asciiTheme="majorHAnsi" w:eastAsiaTheme="majorEastAsia" w:hAnsiTheme="majorHAnsi" w:cstheme="majorBidi"/>
          <w:color w:val="2F5496" w:themeColor="accent1" w:themeShade="BF"/>
          <w:sz w:val="32"/>
          <w:szCs w:val="32"/>
        </w:rPr>
      </w:pPr>
      <w:r>
        <w:br w:type="page"/>
      </w:r>
    </w:p>
    <w:p w14:paraId="7305E8AD" w14:textId="1C2F7ACC" w:rsidR="00117913" w:rsidRPr="005F037D" w:rsidRDefault="00252977" w:rsidP="00117913">
      <w:pPr>
        <w:pStyle w:val="Titre1"/>
      </w:pPr>
      <w:r>
        <w:lastRenderedPageBreak/>
        <w:t>Sujets</w:t>
      </w:r>
      <w:r w:rsidRPr="005F037D">
        <w:t xml:space="preserve"> </w:t>
      </w:r>
      <w:r w:rsidR="00117913" w:rsidRPr="005F037D">
        <w:t>spécifiques</w:t>
      </w:r>
    </w:p>
    <w:p w14:paraId="76F7B0C1" w14:textId="1C7BB426" w:rsidR="00C520C8" w:rsidRPr="008A11B6" w:rsidRDefault="00C520C8" w:rsidP="00C520C8">
      <w:pPr>
        <w:jc w:val="both"/>
        <w:rPr>
          <w:rFonts w:ascii="Franklin Gothic Book" w:hAnsi="Franklin Gothic Book"/>
          <w:sz w:val="20"/>
          <w:szCs w:val="20"/>
        </w:rPr>
      </w:pPr>
      <w:r>
        <w:rPr>
          <w:rFonts w:ascii="Franklin Gothic Book" w:hAnsi="Franklin Gothic Book"/>
          <w:sz w:val="20"/>
          <w:szCs w:val="20"/>
        </w:rPr>
        <w:t xml:space="preserve">J’atteste que les clients ayant bénéficié du bouclier tarifaire gaz 2022 et pour lesquels je demande compensation dans la présente déclaration de pertes correspondent aux cas d’éligibilité prévus par l’article 181 de la loi de finances pour 2022 telle que modifiée par l’article 37 de la loi de finances rectificative pour 2022 et l’article 181 de la loi de finances pour 2023, et ont été identifiés comme tels et alloués </w:t>
      </w:r>
      <w:r w:rsidR="00A163B8">
        <w:rPr>
          <w:rFonts w:ascii="Franklin Gothic Book" w:hAnsi="Franklin Gothic Book"/>
          <w:sz w:val="20"/>
          <w:szCs w:val="20"/>
        </w:rPr>
        <w:t xml:space="preserve">au dispositif de bouclier tarifaire gaz 2022 </w:t>
      </w:r>
      <w:r w:rsidR="009D3396">
        <w:rPr>
          <w:rFonts w:ascii="Franklin Gothic Book" w:hAnsi="Franklin Gothic Book"/>
          <w:sz w:val="20"/>
          <w:szCs w:val="20"/>
        </w:rPr>
        <w:t>(</w:t>
      </w:r>
      <w:r w:rsidR="00A163B8">
        <w:rPr>
          <w:rFonts w:ascii="Franklin Gothic Book" w:hAnsi="Franklin Gothic Book"/>
          <w:sz w:val="20"/>
          <w:szCs w:val="20"/>
        </w:rPr>
        <w:t>et non pas à l’aide en faveur de l’habitat collectif résidentiel</w:t>
      </w:r>
      <w:r w:rsidR="009D3396">
        <w:rPr>
          <w:rFonts w:ascii="Franklin Gothic Book" w:hAnsi="Franklin Gothic Book"/>
          <w:sz w:val="20"/>
          <w:szCs w:val="20"/>
        </w:rPr>
        <w:t>)</w:t>
      </w:r>
      <w:r w:rsidR="00A163B8">
        <w:rPr>
          <w:rFonts w:ascii="Franklin Gothic Book" w:hAnsi="Franklin Gothic Book"/>
          <w:sz w:val="20"/>
          <w:szCs w:val="20"/>
        </w:rPr>
        <w:t xml:space="preserve">, </w:t>
      </w:r>
      <w:r>
        <w:rPr>
          <w:rFonts w:ascii="Franklin Gothic Book" w:hAnsi="Franklin Gothic Book"/>
          <w:sz w:val="20"/>
          <w:szCs w:val="20"/>
        </w:rPr>
        <w:t>en application de la méthodologie jointe à ma déclaration.</w:t>
      </w:r>
      <w:r w:rsidR="008A57E3">
        <w:rPr>
          <w:rFonts w:ascii="Franklin Gothic Book" w:hAnsi="Franklin Gothic Book"/>
          <w:sz w:val="20"/>
          <w:szCs w:val="20"/>
        </w:rPr>
        <w:t xml:space="preserve"> </w:t>
      </w:r>
      <w:r w:rsidR="008A57E3" w:rsidRPr="001D4909">
        <w:rPr>
          <w:rFonts w:ascii="Franklin Gothic Book" w:hAnsi="Franklin Gothic Book"/>
          <w:sz w:val="20"/>
          <w:szCs w:val="20"/>
        </w:rPr>
        <w:t xml:space="preserve">J’atteste que les volumes déclarés ici </w:t>
      </w:r>
      <w:r w:rsidR="008A57E3">
        <w:rPr>
          <w:rFonts w:ascii="Franklin Gothic Book" w:hAnsi="Franklin Gothic Book"/>
          <w:sz w:val="20"/>
          <w:szCs w:val="20"/>
        </w:rPr>
        <w:t>n’ont</w:t>
      </w:r>
      <w:r w:rsidR="008A57E3" w:rsidRPr="001D4909">
        <w:rPr>
          <w:rFonts w:ascii="Franklin Gothic Book" w:hAnsi="Franklin Gothic Book"/>
          <w:sz w:val="20"/>
          <w:szCs w:val="20"/>
        </w:rPr>
        <w:t xml:space="preserve"> pas </w:t>
      </w:r>
      <w:r w:rsidR="008A57E3">
        <w:rPr>
          <w:rFonts w:ascii="Franklin Gothic Book" w:hAnsi="Franklin Gothic Book"/>
          <w:sz w:val="20"/>
          <w:szCs w:val="20"/>
        </w:rPr>
        <w:t xml:space="preserve">fait </w:t>
      </w:r>
      <w:r w:rsidR="008A57E3" w:rsidRPr="001D4909">
        <w:rPr>
          <w:rFonts w:ascii="Franklin Gothic Book" w:hAnsi="Franklin Gothic Book"/>
          <w:sz w:val="20"/>
          <w:szCs w:val="20"/>
        </w:rPr>
        <w:t>l’objet d’une demande de compensation au titre de l’aide en faveur de l’habitat collectif résidentiel instauré par le décret n°2022-</w:t>
      </w:r>
      <w:r w:rsidR="00BA6080">
        <w:rPr>
          <w:rFonts w:ascii="Franklin Gothic Book" w:hAnsi="Franklin Gothic Book"/>
          <w:sz w:val="20"/>
          <w:szCs w:val="20"/>
        </w:rPr>
        <w:t>514</w:t>
      </w:r>
      <w:r w:rsidR="008A57E3" w:rsidRPr="001D4909">
        <w:rPr>
          <w:rFonts w:ascii="Franklin Gothic Book" w:hAnsi="Franklin Gothic Book"/>
          <w:sz w:val="20"/>
          <w:szCs w:val="20"/>
        </w:rPr>
        <w:t xml:space="preserve"> du </w:t>
      </w:r>
      <w:r w:rsidR="00382CF4">
        <w:rPr>
          <w:rFonts w:ascii="Franklin Gothic Book" w:hAnsi="Franklin Gothic Book"/>
          <w:sz w:val="20"/>
          <w:szCs w:val="20"/>
        </w:rPr>
        <w:t>9 avril 2022</w:t>
      </w:r>
      <w:r w:rsidR="008A57E3" w:rsidRPr="001D4909">
        <w:rPr>
          <w:rFonts w:ascii="Franklin Gothic Book" w:hAnsi="Franklin Gothic Book"/>
          <w:sz w:val="20"/>
          <w:szCs w:val="20"/>
        </w:rPr>
        <w:t>.</w:t>
      </w:r>
    </w:p>
    <w:p w14:paraId="39FCFAEC" w14:textId="77777777" w:rsidR="00C520C8" w:rsidRDefault="00C520C8" w:rsidP="00117913">
      <w:pPr>
        <w:pStyle w:val="corpsdetexte"/>
      </w:pPr>
    </w:p>
    <w:p w14:paraId="452B59D5" w14:textId="77777777" w:rsidR="00BA2331" w:rsidRDefault="00BA2331" w:rsidP="00BA2331">
      <w:pPr>
        <w:pStyle w:val="corpsdetexte"/>
      </w:pPr>
    </w:p>
    <w:p w14:paraId="4958D8D2" w14:textId="6DEA00BE" w:rsidR="00BA2331" w:rsidRDefault="00BA2331" w:rsidP="00BA2331">
      <w:pPr>
        <w:pStyle w:val="corpsdetexte"/>
      </w:pPr>
      <w:r>
        <w:t>J’atteste actualiser en 2024 ma déclaration de charges de CSPE au titre de 2022 :</w:t>
      </w:r>
    </w:p>
    <w:p w14:paraId="7082CD46" w14:textId="77777777" w:rsidR="00BA2331" w:rsidRDefault="00BA2331" w:rsidP="00BA2331">
      <w:pPr>
        <w:pStyle w:val="corpsdetexte"/>
        <w:numPr>
          <w:ilvl w:val="0"/>
          <w:numId w:val="2"/>
        </w:numPr>
      </w:pPr>
      <w:r>
        <w:t xml:space="preserve">Du fait d’un ou plusieurs motif(s) prévu(s) par la CRE dans les délibérations citées ci-dessus ayant un impact supérieur à 5 000 € : </w:t>
      </w:r>
      <w:r w:rsidRPr="00303F6E">
        <w:rPr>
          <w:highlight w:val="yellow"/>
        </w:rPr>
        <w:t>[Préciser]</w:t>
      </w:r>
    </w:p>
    <w:p w14:paraId="6509E03A" w14:textId="77777777" w:rsidR="00BA2331" w:rsidRDefault="00BA2331" w:rsidP="00BA2331">
      <w:pPr>
        <w:pStyle w:val="corpsdetexte"/>
        <w:numPr>
          <w:ilvl w:val="0"/>
          <w:numId w:val="2"/>
        </w:numPr>
      </w:pPr>
      <w:r>
        <w:t xml:space="preserve">Du fait d’une autre information dont je ne pouvais pas avoir connaissance lors de ma déclaration de charges réalisées au titre de 2022 en mars 2023 : </w:t>
      </w:r>
      <w:r w:rsidRPr="00303F6E">
        <w:rPr>
          <w:highlight w:val="yellow"/>
        </w:rPr>
        <w:t>[Préciser]</w:t>
      </w:r>
    </w:p>
    <w:p w14:paraId="5E2F1B57" w14:textId="77777777" w:rsidR="00172B67" w:rsidRPr="008B2E73" w:rsidRDefault="00172B67" w:rsidP="00D766DD">
      <w:pPr>
        <w:jc w:val="both"/>
        <w:rPr>
          <w:rFonts w:ascii="Franklin Gothic Book" w:hAnsi="Franklin Gothic Book"/>
          <w:b/>
          <w:i/>
        </w:rPr>
      </w:pPr>
    </w:p>
    <w:p w14:paraId="616F81D6" w14:textId="77777777" w:rsidR="00172B67" w:rsidRDefault="00172B67" w:rsidP="00172B67">
      <w:pPr>
        <w:pStyle w:val="corpsdetexte"/>
      </w:pPr>
      <w:r>
        <w:t xml:space="preserve">Fait à </w:t>
      </w:r>
      <w:r w:rsidRPr="004A3E8D">
        <w:rPr>
          <w:highlight w:val="yellow"/>
        </w:rPr>
        <w:t>[Lieu]</w:t>
      </w:r>
      <w:r>
        <w:t xml:space="preserve">, le </w:t>
      </w:r>
      <w:r w:rsidRPr="004A3E8D">
        <w:rPr>
          <w:highlight w:val="yellow"/>
        </w:rPr>
        <w:t>[date]</w:t>
      </w:r>
    </w:p>
    <w:p w14:paraId="0DD4CE47" w14:textId="77777777" w:rsidR="00172B67" w:rsidRPr="004A3E8D" w:rsidRDefault="00172B67" w:rsidP="00172B67">
      <w:pPr>
        <w:pStyle w:val="corpsdetexte"/>
      </w:pPr>
      <w:r>
        <w:t>Nom et signature :</w:t>
      </w:r>
    </w:p>
    <w:p w14:paraId="3BFEFB25" w14:textId="77777777" w:rsidR="00EB322C" w:rsidRPr="00FA7E86" w:rsidRDefault="00EB322C">
      <w:pPr>
        <w:rPr>
          <w:rFonts w:ascii="Franklin Gothic Book" w:hAnsi="Franklin Gothic Book"/>
        </w:rPr>
      </w:pPr>
    </w:p>
    <w:sectPr w:rsidR="00EB322C" w:rsidRPr="00FA7E8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02724"/>
    <w:multiLevelType w:val="hybridMultilevel"/>
    <w:tmpl w:val="683C6694"/>
    <w:lvl w:ilvl="0" w:tplc="D4BCB7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AC6487C"/>
    <w:multiLevelType w:val="hybridMultilevel"/>
    <w:tmpl w:val="B322B34C"/>
    <w:lvl w:ilvl="0" w:tplc="BE068780">
      <w:numFmt w:val="bullet"/>
      <w:lvlText w:val="-"/>
      <w:lvlJc w:val="left"/>
      <w:pPr>
        <w:ind w:left="720" w:hanging="360"/>
      </w:pPr>
      <w:rPr>
        <w:rFonts w:ascii="Franklin Gothic Book" w:eastAsia="Cambria"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12586467">
    <w:abstractNumId w:val="0"/>
  </w:num>
  <w:num w:numId="2" w16cid:durableId="1270240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002F2D"/>
    <w:rsid w:val="00001A51"/>
    <w:rsid w:val="00005966"/>
    <w:rsid w:val="00035F6C"/>
    <w:rsid w:val="000B7758"/>
    <w:rsid w:val="000C604D"/>
    <w:rsid w:val="000E2962"/>
    <w:rsid w:val="00117913"/>
    <w:rsid w:val="00133B64"/>
    <w:rsid w:val="00150E56"/>
    <w:rsid w:val="00172B67"/>
    <w:rsid w:val="00176EC6"/>
    <w:rsid w:val="001B50E1"/>
    <w:rsid w:val="001C2A9B"/>
    <w:rsid w:val="001E3928"/>
    <w:rsid w:val="001E6E4E"/>
    <w:rsid w:val="001F26D2"/>
    <w:rsid w:val="00211911"/>
    <w:rsid w:val="00214719"/>
    <w:rsid w:val="00237730"/>
    <w:rsid w:val="0024497D"/>
    <w:rsid w:val="00245350"/>
    <w:rsid w:val="00252977"/>
    <w:rsid w:val="00260275"/>
    <w:rsid w:val="00286388"/>
    <w:rsid w:val="002A2890"/>
    <w:rsid w:val="002A6129"/>
    <w:rsid w:val="002D5DE6"/>
    <w:rsid w:val="002E355A"/>
    <w:rsid w:val="002E4F72"/>
    <w:rsid w:val="002F2F2B"/>
    <w:rsid w:val="002F5F9A"/>
    <w:rsid w:val="002F6A67"/>
    <w:rsid w:val="00302E94"/>
    <w:rsid w:val="0030448D"/>
    <w:rsid w:val="00307867"/>
    <w:rsid w:val="00342B10"/>
    <w:rsid w:val="003638ED"/>
    <w:rsid w:val="0038022C"/>
    <w:rsid w:val="00382CF4"/>
    <w:rsid w:val="003876E1"/>
    <w:rsid w:val="003969F0"/>
    <w:rsid w:val="003A0AD5"/>
    <w:rsid w:val="003A5F1B"/>
    <w:rsid w:val="003B76AE"/>
    <w:rsid w:val="00417636"/>
    <w:rsid w:val="004366F2"/>
    <w:rsid w:val="004570EE"/>
    <w:rsid w:val="00482692"/>
    <w:rsid w:val="0048395D"/>
    <w:rsid w:val="004C2FA6"/>
    <w:rsid w:val="004C3D4D"/>
    <w:rsid w:val="004D122D"/>
    <w:rsid w:val="004E14EB"/>
    <w:rsid w:val="005070A9"/>
    <w:rsid w:val="00533E0F"/>
    <w:rsid w:val="0053776F"/>
    <w:rsid w:val="00542B11"/>
    <w:rsid w:val="00553E2C"/>
    <w:rsid w:val="00564932"/>
    <w:rsid w:val="00572C3B"/>
    <w:rsid w:val="00581704"/>
    <w:rsid w:val="00590780"/>
    <w:rsid w:val="005C324D"/>
    <w:rsid w:val="005E5EE8"/>
    <w:rsid w:val="005E6C4A"/>
    <w:rsid w:val="006047CE"/>
    <w:rsid w:val="006953EB"/>
    <w:rsid w:val="006E78FC"/>
    <w:rsid w:val="00701D76"/>
    <w:rsid w:val="00716A88"/>
    <w:rsid w:val="00724A34"/>
    <w:rsid w:val="00725C07"/>
    <w:rsid w:val="00741BB8"/>
    <w:rsid w:val="00747478"/>
    <w:rsid w:val="007537CB"/>
    <w:rsid w:val="00767547"/>
    <w:rsid w:val="007709BD"/>
    <w:rsid w:val="007726A9"/>
    <w:rsid w:val="0077324B"/>
    <w:rsid w:val="0078502D"/>
    <w:rsid w:val="007B326A"/>
    <w:rsid w:val="007B5CB8"/>
    <w:rsid w:val="00842264"/>
    <w:rsid w:val="008863D4"/>
    <w:rsid w:val="00886C69"/>
    <w:rsid w:val="00891122"/>
    <w:rsid w:val="008A0BC0"/>
    <w:rsid w:val="008A57E3"/>
    <w:rsid w:val="008B2E73"/>
    <w:rsid w:val="008C711C"/>
    <w:rsid w:val="008D5E1A"/>
    <w:rsid w:val="008E5BF5"/>
    <w:rsid w:val="0090312A"/>
    <w:rsid w:val="00925E04"/>
    <w:rsid w:val="009301AE"/>
    <w:rsid w:val="009375CC"/>
    <w:rsid w:val="009437D7"/>
    <w:rsid w:val="00950423"/>
    <w:rsid w:val="00957BE1"/>
    <w:rsid w:val="00966D26"/>
    <w:rsid w:val="009726DD"/>
    <w:rsid w:val="009906BE"/>
    <w:rsid w:val="009C2654"/>
    <w:rsid w:val="009D3396"/>
    <w:rsid w:val="009E2A36"/>
    <w:rsid w:val="009F0792"/>
    <w:rsid w:val="009F4454"/>
    <w:rsid w:val="00A01A94"/>
    <w:rsid w:val="00A163B8"/>
    <w:rsid w:val="00A22DE4"/>
    <w:rsid w:val="00A2548A"/>
    <w:rsid w:val="00A407FF"/>
    <w:rsid w:val="00A414EC"/>
    <w:rsid w:val="00A46FA4"/>
    <w:rsid w:val="00A738D6"/>
    <w:rsid w:val="00A83C9A"/>
    <w:rsid w:val="00A94510"/>
    <w:rsid w:val="00AA27D2"/>
    <w:rsid w:val="00AA4785"/>
    <w:rsid w:val="00AF699F"/>
    <w:rsid w:val="00B00AD3"/>
    <w:rsid w:val="00B5278A"/>
    <w:rsid w:val="00B66BF9"/>
    <w:rsid w:val="00B92A16"/>
    <w:rsid w:val="00BA2331"/>
    <w:rsid w:val="00BA6080"/>
    <w:rsid w:val="00BE2875"/>
    <w:rsid w:val="00C039FC"/>
    <w:rsid w:val="00C204D2"/>
    <w:rsid w:val="00C26BE0"/>
    <w:rsid w:val="00C479B0"/>
    <w:rsid w:val="00C520C8"/>
    <w:rsid w:val="00CA4576"/>
    <w:rsid w:val="00CC56EC"/>
    <w:rsid w:val="00CE4615"/>
    <w:rsid w:val="00CE6AEF"/>
    <w:rsid w:val="00CF2F0F"/>
    <w:rsid w:val="00CF7713"/>
    <w:rsid w:val="00D06561"/>
    <w:rsid w:val="00D07F90"/>
    <w:rsid w:val="00D25DA9"/>
    <w:rsid w:val="00D36FE3"/>
    <w:rsid w:val="00D60926"/>
    <w:rsid w:val="00D62F47"/>
    <w:rsid w:val="00D740C9"/>
    <w:rsid w:val="00D766DD"/>
    <w:rsid w:val="00DA1AEF"/>
    <w:rsid w:val="00DA4469"/>
    <w:rsid w:val="00DB3EA6"/>
    <w:rsid w:val="00DD2D72"/>
    <w:rsid w:val="00DD3C84"/>
    <w:rsid w:val="00DD5403"/>
    <w:rsid w:val="00DE497F"/>
    <w:rsid w:val="00E00E07"/>
    <w:rsid w:val="00E10CBE"/>
    <w:rsid w:val="00E25305"/>
    <w:rsid w:val="00E776DF"/>
    <w:rsid w:val="00E82803"/>
    <w:rsid w:val="00EA132F"/>
    <w:rsid w:val="00EA3CC9"/>
    <w:rsid w:val="00EB2E0E"/>
    <w:rsid w:val="00EB322C"/>
    <w:rsid w:val="00ED337E"/>
    <w:rsid w:val="00ED47FB"/>
    <w:rsid w:val="00F25E72"/>
    <w:rsid w:val="00F436A0"/>
    <w:rsid w:val="00F95987"/>
    <w:rsid w:val="00FA7E86"/>
    <w:rsid w:val="00FB1E98"/>
    <w:rsid w:val="00FD15DE"/>
    <w:rsid w:val="00FE1549"/>
    <w:rsid w:val="47002F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EACBA"/>
  <w15:chartTrackingRefBased/>
  <w15:docId w15:val="{81FBBEE7-EFA3-435A-AA96-E719F41A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6DD"/>
  </w:style>
  <w:style w:type="paragraph" w:styleId="Titre1">
    <w:name w:val="heading 1"/>
    <w:basedOn w:val="Normal"/>
    <w:next w:val="Normal"/>
    <w:link w:val="Titre1Car"/>
    <w:uiPriority w:val="9"/>
    <w:qFormat/>
    <w:rsid w:val="008911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2602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766DD"/>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D766DD"/>
    <w:pPr>
      <w:ind w:left="720"/>
      <w:contextualSpacing/>
    </w:pPr>
  </w:style>
  <w:style w:type="table" w:styleId="Grilledutableau">
    <w:name w:val="Table Grid"/>
    <w:basedOn w:val="TableauNormal"/>
    <w:uiPriority w:val="39"/>
    <w:rsid w:val="00D76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766DD"/>
    <w:rPr>
      <w:sz w:val="16"/>
      <w:szCs w:val="16"/>
    </w:rPr>
  </w:style>
  <w:style w:type="paragraph" w:styleId="Commentaire">
    <w:name w:val="annotation text"/>
    <w:basedOn w:val="Normal"/>
    <w:link w:val="CommentaireCar"/>
    <w:uiPriority w:val="99"/>
    <w:unhideWhenUsed/>
    <w:rsid w:val="00D766DD"/>
    <w:pPr>
      <w:spacing w:line="240" w:lineRule="auto"/>
    </w:pPr>
    <w:rPr>
      <w:sz w:val="20"/>
      <w:szCs w:val="20"/>
    </w:rPr>
  </w:style>
  <w:style w:type="character" w:customStyle="1" w:styleId="CommentaireCar">
    <w:name w:val="Commentaire Car"/>
    <w:basedOn w:val="Policepardfaut"/>
    <w:link w:val="Commentaire"/>
    <w:uiPriority w:val="99"/>
    <w:rsid w:val="00D766DD"/>
    <w:rPr>
      <w:sz w:val="20"/>
      <w:szCs w:val="20"/>
    </w:rPr>
  </w:style>
  <w:style w:type="paragraph" w:styleId="Rvision">
    <w:name w:val="Revision"/>
    <w:hidden/>
    <w:uiPriority w:val="99"/>
    <w:semiHidden/>
    <w:rsid w:val="004C2FA6"/>
    <w:pPr>
      <w:spacing w:after="0" w:line="240" w:lineRule="auto"/>
    </w:pPr>
  </w:style>
  <w:style w:type="paragraph" w:customStyle="1" w:styleId="corpsdetexte">
    <w:name w:val="corps de texte"/>
    <w:basedOn w:val="Normal"/>
    <w:link w:val="corpsdetexteCar"/>
    <w:qFormat/>
    <w:rsid w:val="00260275"/>
    <w:pPr>
      <w:spacing w:after="120" w:line="240" w:lineRule="auto"/>
      <w:jc w:val="both"/>
    </w:pPr>
    <w:rPr>
      <w:rFonts w:ascii="Franklin Gothic Book" w:eastAsia="Cambria" w:hAnsi="Franklin Gothic Book" w:cs="Arial"/>
      <w:sz w:val="20"/>
      <w:szCs w:val="20"/>
    </w:rPr>
  </w:style>
  <w:style w:type="character" w:customStyle="1" w:styleId="corpsdetexteCar">
    <w:name w:val="corps de texte Car"/>
    <w:basedOn w:val="Policepardfaut"/>
    <w:link w:val="corpsdetexte"/>
    <w:rsid w:val="00260275"/>
    <w:rPr>
      <w:rFonts w:ascii="Franklin Gothic Book" w:eastAsia="Cambria" w:hAnsi="Franklin Gothic Book" w:cs="Arial"/>
      <w:sz w:val="20"/>
      <w:szCs w:val="20"/>
    </w:rPr>
  </w:style>
  <w:style w:type="paragraph" w:styleId="Titre">
    <w:name w:val="Title"/>
    <w:basedOn w:val="Normal"/>
    <w:next w:val="Normal"/>
    <w:link w:val="TitreCar"/>
    <w:uiPriority w:val="10"/>
    <w:qFormat/>
    <w:rsid w:val="00260275"/>
    <w:pPr>
      <w:spacing w:after="0" w:line="240" w:lineRule="auto"/>
      <w:contextualSpacing/>
    </w:pPr>
    <w:rPr>
      <w:rFonts w:asciiTheme="majorHAnsi" w:eastAsiaTheme="majorEastAsia" w:hAnsiTheme="majorHAnsi" w:cstheme="majorBidi"/>
      <w:spacing w:val="-10"/>
      <w:kern w:val="28"/>
      <w:sz w:val="36"/>
      <w:szCs w:val="36"/>
    </w:rPr>
  </w:style>
  <w:style w:type="character" w:customStyle="1" w:styleId="TitreCar">
    <w:name w:val="Titre Car"/>
    <w:basedOn w:val="Policepardfaut"/>
    <w:link w:val="Titre"/>
    <w:uiPriority w:val="10"/>
    <w:rsid w:val="00260275"/>
    <w:rPr>
      <w:rFonts w:asciiTheme="majorHAnsi" w:eastAsiaTheme="majorEastAsia" w:hAnsiTheme="majorHAnsi" w:cstheme="majorBidi"/>
      <w:spacing w:val="-10"/>
      <w:kern w:val="28"/>
      <w:sz w:val="36"/>
      <w:szCs w:val="36"/>
    </w:rPr>
  </w:style>
  <w:style w:type="character" w:customStyle="1" w:styleId="Titre2Car">
    <w:name w:val="Titre 2 Car"/>
    <w:basedOn w:val="Policepardfaut"/>
    <w:link w:val="Titre2"/>
    <w:uiPriority w:val="9"/>
    <w:rsid w:val="00260275"/>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891122"/>
    <w:rPr>
      <w:rFonts w:asciiTheme="majorHAnsi" w:eastAsiaTheme="majorEastAsia" w:hAnsiTheme="majorHAnsi" w:cstheme="majorBidi"/>
      <w:color w:val="2F5496" w:themeColor="accent1" w:themeShade="BF"/>
      <w:sz w:val="32"/>
      <w:szCs w:val="32"/>
    </w:rPr>
  </w:style>
  <w:style w:type="paragraph" w:styleId="Objetducommentaire">
    <w:name w:val="annotation subject"/>
    <w:basedOn w:val="Commentaire"/>
    <w:next w:val="Commentaire"/>
    <w:link w:val="ObjetducommentaireCar"/>
    <w:uiPriority w:val="99"/>
    <w:semiHidden/>
    <w:unhideWhenUsed/>
    <w:rsid w:val="00286388"/>
    <w:rPr>
      <w:b/>
      <w:bCs/>
    </w:rPr>
  </w:style>
  <w:style w:type="character" w:customStyle="1" w:styleId="ObjetducommentaireCar">
    <w:name w:val="Objet du commentaire Car"/>
    <w:basedOn w:val="CommentaireCar"/>
    <w:link w:val="Objetducommentaire"/>
    <w:uiPriority w:val="99"/>
    <w:semiHidden/>
    <w:rsid w:val="002863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C65352F4614F4CA7C66CD79B69A179" ma:contentTypeVersion="10" ma:contentTypeDescription="Crée un document." ma:contentTypeScope="" ma:versionID="0e42f99e63b5a03e61f79e1b7743c2af">
  <xsd:schema xmlns:xsd="http://www.w3.org/2001/XMLSchema" xmlns:xs="http://www.w3.org/2001/XMLSchema" xmlns:p="http://schemas.microsoft.com/office/2006/metadata/properties" xmlns:ns2="9e3cacff-454f-4d11-91c5-94100c0caa66" xmlns:ns3="3dca32e0-5b4f-4c14-80c4-e307bbfcfeee" targetNamespace="http://schemas.microsoft.com/office/2006/metadata/properties" ma:root="true" ma:fieldsID="8c6a0378d660b9993d23a834463b4db2" ns2:_="" ns3:_="">
    <xsd:import namespace="9e3cacff-454f-4d11-91c5-94100c0caa66"/>
    <xsd:import namespace="3dca32e0-5b4f-4c14-80c4-e307bbfcfee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3cacff-454f-4d11-91c5-94100c0caa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ca32e0-5b4f-4c14-80c4-e307bbfcfee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14A1F0-171E-48E4-9854-FA70E1672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3cacff-454f-4d11-91c5-94100c0caa66"/>
    <ds:schemaRef ds:uri="3dca32e0-5b4f-4c14-80c4-e307bbfcf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3B5A04-2CFA-49D5-BFAC-A5745F7FE822}">
  <ds:schemaRefs>
    <ds:schemaRef ds:uri="3dca32e0-5b4f-4c14-80c4-e307bbfcfeee"/>
    <ds:schemaRef ds:uri="http://schemas.microsoft.com/office/infopath/2007/PartnerControls"/>
    <ds:schemaRef ds:uri="http://purl.org/dc/dcmitype/"/>
    <ds:schemaRef ds:uri="http://purl.org/dc/elements/1.1/"/>
    <ds:schemaRef ds:uri="http://purl.org/dc/terms/"/>
    <ds:schemaRef ds:uri="http://schemas.openxmlformats.org/package/2006/metadata/core-properties"/>
    <ds:schemaRef ds:uri="http://schemas.microsoft.com/office/2006/documentManagement/types"/>
    <ds:schemaRef ds:uri="9e3cacff-454f-4d11-91c5-94100c0caa66"/>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38F7FFF9-C54F-4FA7-8693-D279BA8CF9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622</Words>
  <Characters>3422</Characters>
  <Application>Microsoft Office Word</Application>
  <DocSecurity>0</DocSecurity>
  <Lines>28</Lines>
  <Paragraphs>8</Paragraphs>
  <ScaleCrop>false</ScaleCrop>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Frédéric</dc:creator>
  <cp:keywords/>
  <dc:description/>
  <cp:lastModifiedBy>Théo Cladière</cp:lastModifiedBy>
  <cp:revision>78</cp:revision>
  <dcterms:created xsi:type="dcterms:W3CDTF">2023-12-15T19:57:00Z</dcterms:created>
  <dcterms:modified xsi:type="dcterms:W3CDTF">2024-02-16T13:30:00Z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0x0101001EC65352F4614F4CA7C66CD79B69A179</vt:lpwstr>
  </property>
</Properties>
</file>